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独立□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患者姓名：</w:t>
      </w:r>
      <w:r>
        <w:rPr>
          <w:rFonts w:hint="eastAsia" w:ascii="宋体" w:hAnsi="宋体" w:eastAsia="宋体" w:cs="宋体"/>
          <w:color w:val="000000"/>
          <w:sz w:val="24"/>
        </w:rPr>
        <w:t>韦钧文</w:t>
      </w:r>
      <w:r>
        <w:rPr>
          <w:rFonts w:hint="eastAsia" w:ascii="宋体" w:hAnsi="宋体" w:eastAsia="宋体" w:cs="宋体"/>
          <w:sz w:val="24"/>
          <w:szCs w:val="24"/>
        </w:rPr>
        <w:t xml:space="preserve"> 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出生日期：2014.3.4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8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初诊</w:t>
      </w:r>
      <w:r>
        <w:rPr>
          <w:rFonts w:hint="eastAsia" w:ascii="宋体" w:hAnsi="宋体" w:eastAsia="宋体" w:cs="宋体"/>
          <w:color w:val="000000"/>
          <w:sz w:val="24"/>
        </w:rPr>
        <w:t>1277089</w:t>
      </w:r>
      <w:r>
        <w:rPr>
          <w:rFonts w:hint="eastAsia" w:ascii="宋体" w:hAnsi="宋体" w:eastAsia="宋体" w:cs="宋体"/>
          <w:sz w:val="24"/>
          <w:szCs w:val="24"/>
        </w:rPr>
        <w:t xml:space="preserve">     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小寒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主诉： </w:t>
      </w:r>
      <w:r>
        <w:rPr>
          <w:rFonts w:hint="eastAsia" w:ascii="宋体" w:hAnsi="宋体" w:eastAsia="宋体" w:cs="宋体"/>
          <w:color w:val="000000"/>
          <w:sz w:val="24"/>
        </w:rPr>
        <w:t xml:space="preserve"> 咳嗽5天，发热半天。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</w:t>
      </w:r>
      <w:r>
        <w:rPr>
          <w:rFonts w:hint="eastAsia" w:ascii="宋体" w:hAnsi="宋体" w:eastAsia="宋体" w:cs="宋体"/>
          <w:color w:val="000000"/>
          <w:sz w:val="24"/>
        </w:rPr>
        <w:t>患儿于5天前出现咳嗽，夜间明显，有痰，鼻塞，回吸鼻子，纳寐好，无发热，二便调。门诊予服中药“华盖散”未见好转，并于半天前出现发热，T38.5°C，无抽搐及呕吐，纳食差，有汗不多，二便调。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既往史：</w:t>
      </w:r>
      <w:r>
        <w:rPr>
          <w:rFonts w:hint="eastAsia" w:ascii="宋体" w:hAnsi="宋体" w:eastAsia="宋体" w:cs="宋体"/>
          <w:color w:val="000000"/>
          <w:sz w:val="24"/>
        </w:rPr>
        <w:t>既往有肺炎、湿疹病史。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过敏史：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否认</w:t>
      </w:r>
      <w:r>
        <w:rPr>
          <w:rFonts w:hint="eastAsia" w:ascii="宋体" w:hAnsi="宋体" w:eastAsia="宋体" w:cs="宋体"/>
          <w:sz w:val="24"/>
          <w:szCs w:val="24"/>
        </w:rPr>
        <w:t>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药物及食物</w:t>
      </w:r>
      <w:r>
        <w:rPr>
          <w:rFonts w:hint="eastAsia" w:ascii="宋体" w:hAnsi="宋体" w:eastAsia="宋体" w:cs="宋体"/>
          <w:sz w:val="24"/>
          <w:szCs w:val="24"/>
        </w:rPr>
        <w:t>过敏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史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体格检查：一般情况好，呼吸平顺，咽稍红，舌淡红，苔薄白。双肺呼吸音粗，未闻及干湿啰音。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血常规未见异常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中医诊断：咳嗽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证候诊断：风热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急性支气管炎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color w:val="000000"/>
          <w:sz w:val="24"/>
        </w:rPr>
        <w:t>疏风清热，宣肺化痰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处    方：麻杏石甘汤加减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炙麻黄5   石膏20    杏仁8    甘草6   瓜蒌壳8    鱼腥草10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芦根10    银花10   莱菔子8 蝉蜕6      射干8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40" w:firstLineChars="6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    3付，每日1付，加米水煎服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敷背散敷背治疗4次，每日1次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复诊：（2018.1.10）咳多，无发热，汗不多，纳差，二便调。2天前患儿曾到哮喘研究所口服阿奇霉素治疗。查体：呼吸平顺，咽红+，舌淡红，苔薄白。双眼睑瘀黑征阳性。双肺呼吸音粗。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诊断：</w:t>
      </w:r>
      <w:r>
        <w:rPr>
          <w:rFonts w:hint="eastAsia" w:ascii="宋体" w:hAnsi="宋体" w:eastAsia="宋体" w:cs="宋体"/>
          <w:sz w:val="24"/>
          <w:szCs w:val="24"/>
        </w:rPr>
        <w:t>咳嗽（特禀质风热）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处方：</w:t>
      </w:r>
      <w:r>
        <w:rPr>
          <w:rFonts w:hint="eastAsia" w:ascii="宋体" w:hAnsi="宋体" w:eastAsia="宋体" w:cs="宋体"/>
          <w:sz w:val="24"/>
          <w:szCs w:val="24"/>
        </w:rPr>
        <w:t>麻杏二陈汤去法夏加鱼腥草、瓜蒌皮、麦冬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5付，日一付，水煎服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敷背5次，日一次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诊（2018.1.18）：咳嗽曾一度好转，2天前咳嗽较前增多，有痰，时可咯出白色粘痰，无气喘，无发热，纳少，寐不安，汗不多，二便调。查体：一般情况好，呼吸平稳，咽稍红，舌淡红，苔薄白。双肺呼吸音粗，未闻及干湿啰音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诊断：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咳嗽（痰湿未尽复感）。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处方：上方去麻黄、细辛加地骨皮、白术 。5付，每日1付，水冲服。敷背3次，日一次。（问题：为何加“地骨皮”？）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四诊（2018.1.1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24）：上证好转，咳不多，有汗，有痰，纳食好，二便调。查体：一般情况好，呼吸平稳，咽稍红，舌淡红，苔薄白。双肺呼吸音粗，未闻及干湿啰音。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诊断：咳嗽（余痰未尽）。处方：白术8茯苓8陈皮4法夏6神曲8莱菔子8僵蚕6淮山10甘草6。7付，日一付，水煎服。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病患儿有咳嗽本身的症状+风热表证，为外感风热咳嗽。缘于调护不慎，外感风热之邪，风邪首先犯肺，肺卫受邪，肺失宣降，肺气上逆而出现咳嗽，热为阳邪，邪正相争故发热。热邪炼液为痰，故有痰色黄。咽稍红，舌质红，苔薄白为风热表证。患儿发热，且热像明显，为风热重证。故投予治疗风热咳嗽热重的麻杏石甘汤加减疏风清热，宣肃肺气。方中炙麻黄、杏仁宣降肺气，石膏清肺胃之热，银花、连翘、蝉蜕疏散风热，射干、牛子、芦根清热利咽，莱菔子化痰降逆，鱼腥草、瓜蒌皮清热宣肺，甘草和中调和诸药。石膏成分是无水硫酸钙，煎煮后沉于药渣中，不能起效，加米同煎可以让药物形成混悬液状态，令石膏有效成分悬浮药液中而发挥退热作用。先投3剂解表退热。经治疗，患儿热退。二诊，咳多，无发热，汗不多，纳差，二便调。2天前患儿曾到哮喘研究所口服阿奇霉素治疗。查体咽红+，双眼睑瘀黑征阳性。既往有肺炎、湿疹病史。为特禀质。外邪犯肺，肺之布津功能失常，水湿停聚而成痰。咽红为风热表证之征。治疗当以投以麻杏二陈汤加鱼腥草、瓜蒌皮治疗。方中炙麻黄、杏仁宣降肺气，细辛宣肺散寒，射干、僵蚕解痉祛风，半夏、陈皮、茯苓燥湿化痰健脾行水，莱菔子化痰降逆，甘草和中调和诸药。加用鱼腥草、瓜蒌皮清热宣肺，诸药合用 标本兼顾，共奏逐寒化痰兼疏风清热、宣肺止咳之效。投方5剂。三诊，咳嗽曾一度好转，2天前咳嗽较前增多，有痰，时可咯出白色粘痰。查体：一般情况好，呼吸平稳，咽稍红。考虑痰湿未尽复感。上方去麻黄、细辛以防发散太过，加地骨皮清热防余热伤阴，白术健脾以防病后脾虚。再投5剂。四诊，咳已不多，有汗，有痰。查体呼吸平稳，咽稍红，舌淡红，苔薄白。双肺呼吸音粗，未闻及干湿啰音。咳嗽少，但余痰未尽，治疗当继续健脾化痰为主，白术8茯苓8陈皮4法夏6神曲8莱菔子8僵蚕6淮山10甘草6。投方7剂，日一付，水煎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1．本案患儿素易感冒、咳嗽等病史，说明存在先天不足或有宿痰内蕴等特殊体质的特点，病机分析应考虑体质内因对证候形成的因素。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2．当注意培土与宣肺祛邪的关系。处方时勿发汗太过，可适当加用白术以健脾益气扶正。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FDE01C8"/>
    <w:rsid w:val="2C3A6271"/>
    <w:rsid w:val="2D221293"/>
    <w:rsid w:val="360015DD"/>
    <w:rsid w:val="38A370A0"/>
    <w:rsid w:val="3BFF094D"/>
    <w:rsid w:val="71A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22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2019-01-17T14:59:51Z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