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表3</w:t>
      </w:r>
    </w:p>
    <w:p>
      <w:pPr>
        <w:jc w:val="center"/>
        <w:rPr>
          <w:rFonts w:ascii="宋体"/>
          <w:b/>
          <w:sz w:val="36"/>
          <w:szCs w:val="36"/>
        </w:rPr>
      </w:pPr>
      <w:r>
        <w:rPr>
          <w:rFonts w:hint="eastAsia" w:ascii="宋体"/>
          <w:b/>
          <w:sz w:val="36"/>
          <w:szCs w:val="36"/>
        </w:rPr>
        <w:t>第六批全国老中医药专家学术经验继承工作</w:t>
      </w:r>
    </w:p>
    <w:p>
      <w:pPr>
        <w:jc w:val="center"/>
        <w:rPr>
          <w:rFonts w:ascii="宋体"/>
          <w:sz w:val="36"/>
          <w:szCs w:val="36"/>
        </w:rPr>
      </w:pPr>
      <w:r>
        <w:rPr>
          <w:rFonts w:hint="eastAsia" w:ascii="宋体"/>
          <w:b/>
          <w:sz w:val="36"/>
          <w:szCs w:val="36"/>
        </w:rPr>
        <w:t>医案记录</w:t>
      </w:r>
      <w:r>
        <w:rPr>
          <w:rFonts w:hint="eastAsia" w:ascii="宋体"/>
          <w:sz w:val="28"/>
          <w:szCs w:val="36"/>
        </w:rPr>
        <w:t>（跟师□  独立</w:t>
      </w:r>
      <w:r>
        <w:rPr>
          <w:rFonts w:hint="eastAsia" w:ascii="宋体"/>
          <w:sz w:val="28"/>
          <w:szCs w:val="36"/>
        </w:rPr>
        <w:sym w:font="Wingdings 2" w:char="0052"/>
      </w:r>
      <w:r>
        <w:rPr>
          <w:rFonts w:hint="eastAsia" w:ascii="宋体"/>
          <w:sz w:val="28"/>
          <w:szCs w:val="36"/>
        </w:rPr>
        <w:t xml:space="preserve">  疑难病症□）</w:t>
      </w:r>
    </w:p>
    <w:p>
      <w:pPr>
        <w:rPr>
          <w:rFonts w:ascii="仿宋_GB2312" w:eastAsia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患者姓名：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梁琪敏</w:t>
      </w:r>
      <w:r>
        <w:rPr>
          <w:rFonts w:hint="eastAsia" w:ascii="宋体" w:hAnsi="宋体" w:eastAsia="宋体" w:cs="宋体"/>
          <w:sz w:val="24"/>
          <w:szCs w:val="24"/>
        </w:rPr>
        <w:t xml:space="preserve">   性别：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女</w:t>
      </w:r>
      <w:r>
        <w:rPr>
          <w:rFonts w:hint="eastAsia" w:ascii="宋体" w:hAnsi="宋体" w:eastAsia="宋体" w:cs="宋体"/>
          <w:sz w:val="24"/>
          <w:szCs w:val="24"/>
        </w:rPr>
        <w:t xml:space="preserve">      出生日期：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20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08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.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.11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就诊日期：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2018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.11.17 </w:t>
      </w:r>
      <w:r>
        <w:rPr>
          <w:rFonts w:hint="eastAsia" w:ascii="宋体" w:hAnsi="宋体" w:eastAsia="宋体" w:cs="宋体"/>
          <w:sz w:val="24"/>
          <w:szCs w:val="24"/>
        </w:rPr>
        <w:t xml:space="preserve">初诊/复诊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初诊</w:t>
      </w:r>
      <w:r>
        <w:rPr>
          <w:rFonts w:hint="eastAsia" w:ascii="宋体" w:hAnsi="宋体" w:eastAsia="宋体" w:cs="宋体"/>
          <w:sz w:val="24"/>
          <w:szCs w:val="24"/>
        </w:rPr>
        <w:t xml:space="preserve">           发病节气：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立冬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主诉： 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咳嗽反复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2年余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现病史：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患儿于2年前开始咳嗽，以夜间为主，无发热，无气喘，每次均到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当地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人民医院就诊，诊为“支气管炎”，予“阿奇霉素”、“美洛西林”等治疗，症状略减，但仍时有反复咳嗽。现患儿咳嗽夜间为主，活动后尤甚，有痰，质稀，色偏黄，晨起及夜寐时鼻塞，流清涕，无发热，无气喘，无胸闷，纳食欠佳，夜寐欠安，二便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既往史：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既往史：平素体弱，易感冒，近1年来平均每月1次，病程约1周。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过敏史：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无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体格检查：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查体：一般情况好，呼吸平顺，咽稍红，舌质红，苔薄白。双肺未闻及干湿啰音，心脏听诊未见异常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辅助检查：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中医诊断：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咳嗽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证候诊断：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痰湿内蕴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西医诊断：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反复呼吸道感染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治    法：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痰湿内蕴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处    方：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麻杏二陈汤加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炙麻黄5   陈皮4   茯苓8   法夏6杏仁8    僵蚕6    射干8    莱菔子8  细辛2   鱼腥草10 瓜蒌皮8  甘草6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7付，每日1付，水煎服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复诊：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心得体会：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本病患儿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平素体弱，易感冒，近1年来平均每月1次，病程约1周。纳食欠佳，咳嗽夜间为主，活动后尤甚，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本次咳嗽日久，久病迁延，为特禀质痰湿内蕴。缘于患儿素体虚弱，易感外邪，肺脾受损。肺主布津，脾主运化，肺虚则布津功能失调，水湿内蕴；脾虚则失于健运，酿生痰湿，痰湿上贮于肺，肺气失于宣降，肺气上逆而致咳嗽。痰湿郁久化热，故见舌红咽红。治疗当以投以麻杏二陈汤加鱼腥草、瓜蒌皮治疗。方中炙麻黄、杏仁宣降肺气，细辛宣肺散寒，射干、僵蚕解痉祛风，半夏、陈皮、茯苓燥湿化痰健脾行水，莱菔子化痰降逆，甘草和中调和诸药。加用鱼腥草、瓜蒌皮清热宣肺，久病肺经郁热，加用麦冬清郁热，养阴稀释痰液利于排痰。诸药合用，标本兼顾，共奏逐饮化痰兼清郁热、宣肃肺气之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                 签 名：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王广青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2018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指导老师点评：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华文行楷" w:hAnsi="华文行楷" w:eastAsia="华文行楷" w:cs="华文行楷"/>
          <w:color w:val="FF0000"/>
          <w:sz w:val="32"/>
          <w:szCs w:val="32"/>
        </w:rPr>
      </w:pPr>
      <w:bookmarkStart w:id="0" w:name="_GoBack"/>
      <w:r>
        <w:rPr>
          <w:rFonts w:hint="eastAsia" w:ascii="华文行楷" w:hAnsi="华文行楷" w:eastAsia="华文行楷" w:cs="华文行楷"/>
          <w:color w:val="FF0000"/>
          <w:sz w:val="32"/>
          <w:szCs w:val="32"/>
        </w:rPr>
        <w:t>1．本案辨证准确，处方合理</w:t>
      </w:r>
      <w:r>
        <w:rPr>
          <w:rFonts w:hint="eastAsia" w:ascii="华文行楷" w:hAnsi="华文行楷" w:eastAsia="华文行楷" w:cs="华文行楷"/>
          <w:color w:val="FF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华文行楷" w:hAnsi="华文行楷" w:eastAsia="华文行楷" w:cs="华文行楷"/>
          <w:color w:val="FF0000"/>
          <w:sz w:val="32"/>
          <w:szCs w:val="32"/>
        </w:rPr>
      </w:pPr>
      <w:r>
        <w:rPr>
          <w:rFonts w:hint="eastAsia" w:ascii="华文行楷" w:hAnsi="华文行楷" w:eastAsia="华文行楷" w:cs="华文行楷"/>
          <w:color w:val="FF0000"/>
          <w:sz w:val="32"/>
          <w:szCs w:val="32"/>
        </w:rPr>
        <w:t>2．有否存在反复呼吸道感染的依据，在病史的询问中应尽可能完善，有复感者当注意培土与宣肺祛邪的关系。处方时勿发汗太过，可适当加用白术以健脾益气扶正。</w:t>
      </w:r>
      <w:bookmarkEnd w:id="0"/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4"/>
        </w:rPr>
        <w:t xml:space="preserve">                                                   签 名：</w:t>
      </w:r>
      <w:r>
        <w:rPr>
          <w:rFonts w:hint="eastAsia" w:ascii="华文行楷" w:eastAsia="华文行楷"/>
          <w:color w:val="FF0000"/>
          <w:sz w:val="32"/>
          <w:szCs w:val="32"/>
        </w:rPr>
        <w:t>王力宁</w:t>
      </w:r>
    </w:p>
    <w:p>
      <w:pPr>
        <w:ind w:firstLine="6480" w:firstLineChars="2700"/>
      </w:pPr>
      <w:r>
        <w:rPr>
          <w:rFonts w:hint="eastAsia" w:ascii="仿宋" w:hAnsi="仿宋" w:eastAsia="仿宋"/>
          <w:sz w:val="24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18"/>
    <w:rsid w:val="000B4C7A"/>
    <w:rsid w:val="001F05DC"/>
    <w:rsid w:val="00AE1518"/>
    <w:rsid w:val="00C92EDA"/>
    <w:rsid w:val="0FDE01C8"/>
    <w:rsid w:val="2DCF6965"/>
    <w:rsid w:val="717D22B0"/>
    <w:rsid w:val="7F73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350</Characters>
  <Lines>2</Lines>
  <Paragraphs>1</Paragraphs>
  <TotalTime>3</TotalTime>
  <ScaleCrop>false</ScaleCrop>
  <LinksUpToDate>false</LinksUpToDate>
  <CharactersWithSpaces>410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2018-11-30T00:26:00Z</dcterms:created>
  <dc:creator>苏启福</dc:creator>
  <cp:lastModifiedBy>王广青</cp:lastModifiedBy>
  <dcterms:modified xsi:type="dcterms:W3CDTF">2019-01-17T14:17:29Z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