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/>
          <w:color w:val="000000"/>
          <w:sz w:val="24"/>
        </w:rPr>
        <w:t>陆远航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出生日期：2011.11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eastAsia="方正仿宋_GBK"/>
          <w:color w:val="000000"/>
          <w:sz w:val="24"/>
        </w:rPr>
        <w:t>1012886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大寒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主诉：咳嗽4天，发热1天。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现病史：患儿于4天前出现咳嗽，有痰少，流浊涕，鼻塞，纳食尚好，自捡中药内服未效。于昨晚开始发热，T38.4°C，无抽搐，无呕吐，咳嗽增多，二便调。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既往史：既往易咳嗽、扁桃体炎。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体格检查：一般情况好，呼吸平顺，咽红+，双侧扁桃体Ⅱ大，充血，无脓点，舌质红，苔薄白。心肺听诊未见异常。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血常规：WBC18.8*109/L，N66.1%，CRP7.8mg/L。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</w:t>
      </w:r>
      <w:r>
        <w:rPr>
          <w:rFonts w:hint="eastAsia" w:ascii="宋体" w:hAnsi="宋体" w:cs="宋体"/>
          <w:color w:val="000000"/>
          <w:sz w:val="24"/>
        </w:rPr>
        <w:t>乳蛾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证候诊断：痰瘀兼风热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急性扁桃体炎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疏散风热、解毒利咽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方：乳蛾汤加减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银花10     公英10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竹叶6    石膏20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岗梅根10   射干8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蝉蜕6    丹皮8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竹叶6      薄荷（后下）3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3付，日1付，水煎服（加米）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头孢克洛咀嚼片0.125*16片   1片 Tid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退热药自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随诊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方是在银翘散基础上加减而成，由金银花、岗梅根、射干、蝉退、薄荷、甘草等组成。方中金银花、岗梅根疏风清热解毒利咽为君药；薄荷、牛蒡子、射干疏散风热、解毒利咽，助君药清热利咽为臣药；蝉退清热解毒利咽为佐药；甘草调和诸药为使药。患儿素易患扁桃体炎，痰瘀互结，加丹皮解毒利咽，活血散瘀。石膏清肺胃实热，因石膏主要成分为含水硫酸钙，不溶于水，加米同煎使药达病所。血常规白细胞及中性粒细胞均高，提示细菌感染存在，故予加用头孢克洛抗菌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ind w:firstLine="640" w:firstLineChars="200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辨证准确，处方合理。抗菌素使用合理。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7172A44"/>
    <w:rsid w:val="2D294354"/>
    <w:rsid w:val="34FC5E92"/>
    <w:rsid w:val="45C6152B"/>
    <w:rsid w:val="5E1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