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吴至鹏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.7.25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hAnsi="宋体" w:eastAsia="宋体" w:cs="宋体"/>
          <w:sz w:val="24"/>
          <w:szCs w:val="24"/>
        </w:rPr>
        <w:t xml:space="preserve"> 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大暑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咳嗽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患儿于10余天前因调护不慎出现咳嗽，无流涕，无发热，无气喘，曾服中药治疗，现咳嗽已不多，但仍有痰，不易咯出，无发热，无流涕，纳食一般，二便调，汗仍多。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既往易感冒、咳嗽，平时活动汗出较多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一般情况好，呼吸平顺，咽稍红，舌质红，无苔。双肺未闻及干湿啰音，心脏听诊未见异常。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中医诊断：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气阴不足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养阴清热，健脾润肺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处    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自拟方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炙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鱼腥草10  杏仁8  茯苓8  蝉蜕6  麦冬8  陈皮4  白术 8  知母8    浙贝8  甘草6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6付，每日1付，水煎服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病患儿有咳嗽本身的症状+汗多、舌红苔少等气阴虚之表现，故属于气阴不足咳嗽。肺主卫外，小儿肺常不足，调护不慎，外感风邪，风邪首先犯肺，肺卫受邪，肺失宣降，肺气上逆而出现咳嗽。久热久咳，耗伤肺阴，阴津受损，肺失滋养而咳未尽，有痰难咯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舌质红，无苔为阴虚之象。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发病以来已服中药治疗，早期一般使用疏风清热宣肺之品，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现随咳嗽减少，但咳未尽，有痰难咯，系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久热久咳，耗伤肺阴，阴津受损，肺失滋养所致。且患儿发病时节为秋凉入冬之时，有时令燥邪。故治疗当投以养阴清热，健脾润肺之药。患儿仍痰多，然沙参麦冬汤过于滋腻，易闭门留寇，不利于化痰，故王老师自拟方治疗本病。方中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蝉蜕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疏风祛未尽之邪，杏仁肃降肺气，鱼腥草、浙贝清热化痰；茯苓、陈皮、白术健脾燥湿化痰，知母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、麦冬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清热生津以利于稀释痰液，令痰易咯，甘草和中健脾。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00" w:firstLineChars="25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1．本案患儿病程短，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  <w:lang w:eastAsia="zh-CN"/>
        </w:rPr>
        <w:t>是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以外感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  <w:lang w:eastAsia="zh-CN"/>
        </w:rPr>
        <w:t>还是内伤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为主，辨证准确，处方合理。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00" w:firstLineChars="250"/>
        <w:textAlignment w:val="auto"/>
        <w:rPr>
          <w:rFonts w:hint="eastAsia" w:ascii="宋体" w:hAnsi="宋体" w:eastAsia="宋体" w:cs="宋体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2．病机分析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  <w:lang w:eastAsia="zh-CN"/>
        </w:rPr>
        <w:t>耗伤肺阴，阴津受损，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比较牵强，以外感风热能够解释清楚。</w:t>
      </w:r>
    </w:p>
    <w:p>
      <w:pPr>
        <w:rPr>
          <w:rFonts w:ascii="仿宋" w:hAnsi="仿宋" w:eastAsia="仿宋"/>
          <w:sz w:val="24"/>
        </w:rPr>
      </w:pPr>
      <w:bookmarkStart w:id="0" w:name="_GoBack"/>
      <w:bookmarkEnd w:id="0"/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14052E2E"/>
    <w:rsid w:val="25A16942"/>
    <w:rsid w:val="56C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