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</w:p>
    <w:p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全区行风专项整治工作督查表一</w:t>
      </w:r>
    </w:p>
    <w:p>
      <w:pPr>
        <w:adjustRightInd w:val="0"/>
        <w:snapToGrid w:val="0"/>
        <w:spacing w:line="7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（财务和收费管理）</w:t>
      </w:r>
    </w:p>
    <w:p>
      <w:pPr>
        <w:adjustRightInd w:val="0"/>
        <w:snapToGrid w:val="0"/>
        <w:spacing w:line="7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督查组成员（签字）：                  受检单位（签字）：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4501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5" w:hRule="atLeast"/>
          <w:tblHeader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检查要点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检查内容及要求</w:t>
            </w:r>
          </w:p>
        </w:tc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检查结果（亮点与不足）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1.认真执行国家财经法律法规，建立健全各项财务规章制度。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1.建全医院财务管理制度，岗位责任制、财务内部控制制度并有效实施；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2.坚持“统一领导、集中管理”的财务管理体制；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3.内部审计机构健全，配备专职审计人员；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4.严禁设立“账外账、小金库”定期开展小金库专项治理工作。</w:t>
            </w:r>
          </w:p>
        </w:tc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7" w:hRule="atLeast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2．流动资产管理。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1.健全货币资金管理制度，加强银行帐户管理；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2.严格按《现金管理暂行条例》规定办理现金收支业务；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3.及时清理应收款项并做账龄分析，按规定提取坏账准备；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4.库存物资及药品要按照“计划采购，定额定量供应”原则管理，合理确定储备定额，加快资金周转；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5.定期对库存物资及药品盘点并对账，保证账账相符、账实相符。</w:t>
            </w:r>
          </w:p>
        </w:tc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8" w:hRule="atLeast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3.严格执行医疗收费管理。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1.是否有不公开医疗服务价格标准和常用药品价格，自定收费项目，自定项目费用过高；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2.是否认真执行国家药品和医疗服务价格政策，有各项价格管理制度，有无重复收费、分解收费项目或擅自提高标准收费等及乱收费行为；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3.是否存在向科室或个人下达创收指标问题，是否存在将医疗卫生人员奖金、工资等收入与药品、医学检查收入等业务收入挂钩问题；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4.是否存在在药品处方、医学检查等医疗服务中实行开单提成的问题，是否存在对介绍患者来本单位检查、治疗或购买医药产品的单位或个人给予回扣的问题；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5.在药品处方、医学检查等医疗服务中实行开单提成，医务人员利用号源、病床等医疗资源收取提成。</w:t>
            </w:r>
          </w:p>
        </w:tc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ascii="仿宋_GB2312" w:eastAsia="仿宋_GB2312" w:hAnsiTheme="minorEastAsia"/>
          <w:b/>
          <w:sz w:val="24"/>
        </w:rPr>
      </w:pPr>
    </w:p>
    <w:p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701" w:right="1418" w:bottom="1418" w:left="170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全区行风专项整治工作督查表二</w:t>
      </w:r>
    </w:p>
    <w:p>
      <w:pPr>
        <w:adjustRightInd w:val="0"/>
        <w:snapToGrid w:val="0"/>
        <w:spacing w:line="7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（规范诊疗）</w:t>
      </w:r>
    </w:p>
    <w:p>
      <w:pPr>
        <w:adjustRightInd w:val="0"/>
        <w:snapToGrid w:val="0"/>
        <w:spacing w:line="560" w:lineRule="exact"/>
        <w:rPr>
          <w:rFonts w:asciiTheme="minorEastAsia" w:hAnsiTheme="minorEastAsia" w:eastAsiaTheme="minorEastAsia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督查组成员（签字）：                 受检单位（签字）：</w:t>
      </w:r>
    </w:p>
    <w:tbl>
      <w:tblPr>
        <w:tblStyle w:val="8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466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</w:trPr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检查要点</w:t>
            </w:r>
          </w:p>
        </w:tc>
        <w:tc>
          <w:tcPr>
            <w:tcW w:w="4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检查项目及要求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检查结果（亮点与不足）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1538" w:type="dxa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1.持续改进医疗质量，规范诊疗行为。</w:t>
            </w:r>
          </w:p>
        </w:tc>
        <w:tc>
          <w:tcPr>
            <w:tcW w:w="4666" w:type="dxa"/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1.</w:t>
            </w:r>
            <w:r>
              <w:rPr>
                <w:rFonts w:hint="eastAsia" w:ascii="仿宋_GB2312" w:eastAsia="仿宋_GB2312"/>
                <w:kern w:val="0"/>
                <w:sz w:val="24"/>
              </w:rPr>
              <w:t>落实医疗质量和医疗安全的核心制度；</w:t>
            </w:r>
          </w:p>
          <w:p>
            <w:pPr>
              <w:widowControl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2.</w:t>
            </w:r>
            <w:r>
              <w:rPr>
                <w:rFonts w:hint="eastAsia" w:ascii="仿宋_GB2312" w:eastAsia="仿宋_GB2312"/>
                <w:kern w:val="0"/>
                <w:sz w:val="24"/>
              </w:rPr>
              <w:t>健全医疗质量管理与控制体系；</w:t>
            </w:r>
          </w:p>
          <w:p>
            <w:pPr>
              <w:widowControl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3.</w:t>
            </w:r>
            <w:r>
              <w:rPr>
                <w:rFonts w:hint="eastAsia" w:ascii="仿宋_GB2312" w:eastAsia="仿宋_GB2312"/>
                <w:kern w:val="0"/>
                <w:sz w:val="24"/>
              </w:rPr>
              <w:t>严格规范诊疗服务行为，推进合理检查、合理用药、合理治疗</w:t>
            </w:r>
            <w:r>
              <w:rPr>
                <w:rFonts w:ascii="仿宋_GB2312" w:eastAsia="仿宋_GB2312"/>
                <w:kern w:val="0"/>
                <w:sz w:val="24"/>
              </w:rPr>
              <w:t>;</w:t>
            </w:r>
          </w:p>
          <w:p>
            <w:pPr>
              <w:widowControl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4.</w:t>
            </w:r>
            <w:r>
              <w:rPr>
                <w:rFonts w:hint="eastAsia" w:ascii="仿宋_GB2312" w:eastAsia="仿宋_GB2312"/>
                <w:kern w:val="0"/>
                <w:sz w:val="24"/>
              </w:rPr>
              <w:t>探索开展信息化医疗质控模式，建立信息系统，建立常态、长效、可持续的质控工作机制。</w:t>
            </w:r>
          </w:p>
        </w:tc>
        <w:tc>
          <w:tcPr>
            <w:tcW w:w="2977" w:type="dxa"/>
          </w:tcPr>
          <w:p>
            <w:pPr>
              <w:adjustRightInd w:val="0"/>
              <w:snapToGrid w:val="0"/>
              <w:textAlignment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6" w:hRule="atLeast"/>
        </w:trPr>
        <w:tc>
          <w:tcPr>
            <w:tcW w:w="1538" w:type="dxa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2.开展临床路径、规范化诊疗、单病种质量控制等工作。</w:t>
            </w:r>
          </w:p>
        </w:tc>
        <w:tc>
          <w:tcPr>
            <w:tcW w:w="4666" w:type="dxa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1.</w:t>
            </w:r>
            <w:r>
              <w:rPr>
                <w:rFonts w:hint="eastAsia" w:ascii="仿宋_GB2312" w:eastAsia="仿宋_GB2312"/>
                <w:kern w:val="0"/>
                <w:sz w:val="24"/>
              </w:rPr>
              <w:t>制订本医疗机构临床路径开展与实施的规划和相关制度情况；</w:t>
            </w:r>
            <w:r>
              <w:rPr>
                <w:rFonts w:ascii="仿宋_GB2312" w:eastAsia="仿宋_GB2312"/>
                <w:kern w:val="0"/>
                <w:sz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</w:rPr>
              <w:t>2.</w:t>
            </w:r>
            <w:r>
              <w:rPr>
                <w:rFonts w:hint="eastAsia" w:ascii="仿宋_GB2312" w:eastAsia="仿宋_GB2312"/>
                <w:kern w:val="0"/>
                <w:sz w:val="24"/>
              </w:rPr>
              <w:t>临床路径工作落实情况（包括成立机构、责任到位、实施病种数量、遵照国家卫生计生委标准或结合本地情况细化等）；</w:t>
            </w:r>
            <w:r>
              <w:rPr>
                <w:rFonts w:ascii="仿宋_GB2312" w:eastAsia="仿宋_GB2312"/>
                <w:kern w:val="0"/>
                <w:sz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</w:rPr>
              <w:t>3.</w:t>
            </w:r>
            <w:r>
              <w:rPr>
                <w:rFonts w:hint="eastAsia" w:ascii="仿宋_GB2312" w:eastAsia="仿宋_GB2312"/>
                <w:kern w:val="0"/>
                <w:sz w:val="24"/>
              </w:rPr>
              <w:t>实施临床路径对有关业务科室医务人员进行相关培训情况（培训内容应当包括：临床路径基础理论、管理方法和相关制度；临床路径主要内容、实施方法和评价制度）；</w:t>
            </w:r>
            <w:r>
              <w:rPr>
                <w:rFonts w:ascii="仿宋_GB2312" w:eastAsia="仿宋_GB2312"/>
                <w:kern w:val="0"/>
                <w:sz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</w:rPr>
              <w:t>4.</w:t>
            </w:r>
            <w:r>
              <w:rPr>
                <w:rFonts w:hint="eastAsia" w:ascii="仿宋_GB2312" w:eastAsia="仿宋_GB2312"/>
                <w:kern w:val="0"/>
                <w:sz w:val="24"/>
              </w:rPr>
              <w:t>有无审核和评价制度，定期开展临床路径实施的过程和效果评价，关键环节是否具有质控保障；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5. </w:t>
            </w:r>
            <w:r>
              <w:rPr>
                <w:rFonts w:hint="eastAsia" w:ascii="仿宋_GB2312" w:eastAsia="仿宋_GB2312"/>
                <w:kern w:val="0"/>
                <w:sz w:val="24"/>
              </w:rPr>
              <w:t>扩大临床路径覆盖面。</w:t>
            </w:r>
          </w:p>
        </w:tc>
        <w:tc>
          <w:tcPr>
            <w:tcW w:w="2977" w:type="dxa"/>
          </w:tcPr>
          <w:p>
            <w:pPr>
              <w:adjustRightInd w:val="0"/>
              <w:snapToGrid w:val="0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</w:trPr>
        <w:tc>
          <w:tcPr>
            <w:tcW w:w="1538" w:type="dxa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3.完善处方点评制度，加强合理用药监测，规范抗菌药物临床应用管理，严格执行特殊药品的规章制度。</w:t>
            </w:r>
          </w:p>
        </w:tc>
        <w:tc>
          <w:tcPr>
            <w:tcW w:w="4666" w:type="dxa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1.</w:t>
            </w:r>
            <w:r>
              <w:rPr>
                <w:rFonts w:hint="eastAsia" w:ascii="仿宋_GB2312" w:eastAsia="仿宋_GB2312"/>
                <w:kern w:val="0"/>
                <w:sz w:val="24"/>
              </w:rPr>
              <w:t>执行《处方管理办法》情况；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2.</w:t>
            </w:r>
            <w:r>
              <w:rPr>
                <w:rFonts w:hint="eastAsia" w:ascii="仿宋_GB2312" w:eastAsia="仿宋_GB2312"/>
                <w:kern w:val="0"/>
                <w:sz w:val="24"/>
              </w:rPr>
              <w:t>落实处方点评制度情况；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3.</w:t>
            </w:r>
            <w:r>
              <w:rPr>
                <w:rFonts w:hint="eastAsia" w:ascii="仿宋_GB2312" w:eastAsia="仿宋_GB2312"/>
                <w:kern w:val="0"/>
                <w:sz w:val="24"/>
              </w:rPr>
              <w:t>执行《抗菌药物临床应用指导原则》情况；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4.</w:t>
            </w:r>
            <w:r>
              <w:rPr>
                <w:rFonts w:hint="eastAsia" w:ascii="仿宋_GB2312" w:eastAsia="仿宋_GB2312"/>
                <w:kern w:val="0"/>
                <w:sz w:val="24"/>
              </w:rPr>
              <w:t>建立临床药师制度，有相应的临床药师工作与管理制度，有相应数量的专职临床药师，参与临床药物治疗，促进药物合理应用；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5.</w:t>
            </w:r>
            <w:r>
              <w:rPr>
                <w:rFonts w:hint="eastAsia" w:ascii="仿宋_GB2312" w:eastAsia="仿宋_GB2312"/>
                <w:kern w:val="0"/>
                <w:sz w:val="24"/>
              </w:rPr>
              <w:t>麻醉药品、精神药品的购置、保管、处方等管理政策落实情况；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6.</w:t>
            </w:r>
            <w:r>
              <w:rPr>
                <w:rFonts w:hint="eastAsia" w:ascii="仿宋_GB2312" w:eastAsia="仿宋_GB2312"/>
                <w:kern w:val="0"/>
                <w:sz w:val="24"/>
              </w:rPr>
              <w:t>药品不良反应与药害事故监测与报告落实情况。</w:t>
            </w:r>
          </w:p>
        </w:tc>
        <w:tc>
          <w:tcPr>
            <w:tcW w:w="2977" w:type="dxa"/>
          </w:tcPr>
          <w:p>
            <w:pPr>
              <w:adjustRightInd w:val="0"/>
              <w:snapToGrid w:val="0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4" w:hRule="atLeast"/>
        </w:trPr>
        <w:tc>
          <w:tcPr>
            <w:tcW w:w="1538" w:type="dxa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4.规范临床检查，诊断，治疗，使用药物和植（介）入类医疗器械使用行为。</w:t>
            </w:r>
          </w:p>
        </w:tc>
        <w:tc>
          <w:tcPr>
            <w:tcW w:w="4666" w:type="dxa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1.</w:t>
            </w:r>
            <w:r>
              <w:rPr>
                <w:rFonts w:hint="eastAsia" w:ascii="仿宋_GB2312" w:eastAsia="仿宋_GB2312"/>
                <w:kern w:val="0"/>
                <w:sz w:val="24"/>
              </w:rPr>
              <w:t>成立医疗器械临床使用安全管理委员会，指导医疗器械临床安全管理和监测工作；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2.</w:t>
            </w:r>
            <w:r>
              <w:rPr>
                <w:rFonts w:hint="eastAsia" w:ascii="仿宋_GB2312" w:eastAsia="仿宋_GB2312"/>
                <w:kern w:val="0"/>
                <w:sz w:val="24"/>
              </w:rPr>
              <w:t>制定医疗器械临床使用安全管理制度，建立健全医疗器械临床使用安全管理体系；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3.</w:t>
            </w:r>
            <w:r>
              <w:rPr>
                <w:rFonts w:hint="eastAsia" w:ascii="仿宋_GB2312" w:eastAsia="仿宋_GB2312"/>
                <w:kern w:val="0"/>
                <w:sz w:val="24"/>
              </w:rPr>
              <w:t>建立医疗器械临床使用安全事件的日常管理制度、监测制度和应急预案，并主动或定期向卫生计生行政部门、食品药品监督管理部门上报医疗器械临床使用安全事件监测信息；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4.</w:t>
            </w:r>
            <w:r>
              <w:rPr>
                <w:rFonts w:hint="eastAsia" w:ascii="仿宋_GB2312" w:eastAsia="仿宋_GB2312"/>
                <w:kern w:val="0"/>
                <w:sz w:val="24"/>
              </w:rPr>
              <w:t>临床使用的设备类、植入与介入的医疗器械名称及唯一性识别信息应完整记录到病历中；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5.</w:t>
            </w:r>
            <w:r>
              <w:rPr>
                <w:rFonts w:hint="eastAsia" w:ascii="仿宋_GB2312" w:eastAsia="仿宋_GB2312"/>
                <w:kern w:val="0"/>
                <w:sz w:val="24"/>
              </w:rPr>
              <w:t>尊重患者知情同意权，如实向患者告知需说明的有关事项，并签署知情同意书；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6.</w:t>
            </w:r>
            <w:r>
              <w:rPr>
                <w:rFonts w:hint="eastAsia" w:ascii="仿宋_GB2312" w:eastAsia="仿宋_GB2312"/>
                <w:kern w:val="0"/>
                <w:sz w:val="24"/>
              </w:rPr>
              <w:t>应定期对本院医疗器械使用安全情况进行考核和评估，形成记录并存档；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7.</w:t>
            </w:r>
            <w:r>
              <w:rPr>
                <w:rFonts w:hint="eastAsia" w:ascii="仿宋_GB2312" w:eastAsia="仿宋_GB2312"/>
                <w:kern w:val="0"/>
                <w:sz w:val="24"/>
              </w:rPr>
              <w:t>加强对医疗器械使用科室，如对医学影像、骨科、器官移植、介入科、输血、产房、</w:t>
            </w:r>
            <w:r>
              <w:rPr>
                <w:rFonts w:ascii="仿宋_GB2312" w:eastAsia="仿宋_GB2312"/>
                <w:kern w:val="0"/>
                <w:sz w:val="24"/>
              </w:rPr>
              <w:t>ICU</w:t>
            </w:r>
            <w:r>
              <w:rPr>
                <w:rFonts w:hint="eastAsia" w:ascii="仿宋_GB2312" w:eastAsia="仿宋_GB2312"/>
                <w:kern w:val="0"/>
                <w:sz w:val="24"/>
              </w:rPr>
              <w:t>等科室重点监控。</w:t>
            </w:r>
          </w:p>
        </w:tc>
        <w:tc>
          <w:tcPr>
            <w:tcW w:w="2977" w:type="dxa"/>
          </w:tcPr>
          <w:p>
            <w:pPr>
              <w:adjustRightInd w:val="0"/>
              <w:snapToGrid w:val="0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6" w:hRule="atLeast"/>
        </w:trPr>
        <w:tc>
          <w:tcPr>
            <w:tcW w:w="1538" w:type="dxa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</w:t>
            </w:r>
            <w:r>
              <w:rPr>
                <w:rFonts w:ascii="仿宋_GB2312" w:eastAsia="仿宋_GB2312"/>
                <w:kern w:val="0"/>
                <w:sz w:val="24"/>
              </w:rPr>
              <w:t>.</w:t>
            </w:r>
            <w:r>
              <w:rPr>
                <w:rFonts w:hint="eastAsia" w:ascii="仿宋_GB2312" w:eastAsia="仿宋_GB2312"/>
                <w:kern w:val="0"/>
                <w:sz w:val="24"/>
              </w:rPr>
              <w:t>加强医疗临床技术管理，贯彻落实《医疗技术临床应用管理办法》。</w:t>
            </w:r>
          </w:p>
        </w:tc>
        <w:tc>
          <w:tcPr>
            <w:tcW w:w="4666" w:type="dxa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1.</w:t>
            </w:r>
            <w:r>
              <w:rPr>
                <w:rFonts w:hint="eastAsia" w:ascii="仿宋_GB2312" w:eastAsia="仿宋_GB2312"/>
                <w:kern w:val="0"/>
                <w:sz w:val="24"/>
              </w:rPr>
              <w:t>根据国务院《人体器官移植条例》、国家卫生计生委《医疗技术临床应用管理办法》以及各类专业技术规范制定相应的医疗技术（包括新技术、新项目）管理制度；建立医疗技术管理档案；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2.</w:t>
            </w:r>
            <w:r>
              <w:rPr>
                <w:rFonts w:hint="eastAsia" w:ascii="仿宋_GB2312" w:eastAsia="仿宋_GB2312"/>
                <w:kern w:val="0"/>
                <w:sz w:val="24"/>
              </w:rPr>
              <w:t>实行医疗技术分类管理；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3.</w:t>
            </w:r>
            <w:r>
              <w:rPr>
                <w:rFonts w:hint="eastAsia" w:ascii="仿宋_GB2312" w:eastAsia="仿宋_GB2312"/>
                <w:kern w:val="0"/>
                <w:sz w:val="24"/>
              </w:rPr>
              <w:t>建立第一类医疗技术目录；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4.</w:t>
            </w:r>
            <w:r>
              <w:rPr>
                <w:rFonts w:hint="eastAsia" w:ascii="仿宋_GB2312" w:eastAsia="仿宋_GB2312"/>
                <w:kern w:val="0"/>
                <w:sz w:val="24"/>
              </w:rPr>
              <w:t>建立并落实手术分级与准入管理制度；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5.</w:t>
            </w:r>
            <w:r>
              <w:rPr>
                <w:rFonts w:hint="eastAsia" w:ascii="仿宋_GB2312" w:eastAsia="仿宋_GB2312"/>
                <w:kern w:val="0"/>
                <w:sz w:val="24"/>
              </w:rPr>
              <w:t>医疗技术临床应用依法依规实行准入和动态管理；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6.</w:t>
            </w:r>
            <w:r>
              <w:rPr>
                <w:rFonts w:hint="eastAsia" w:ascii="仿宋_GB2312" w:eastAsia="仿宋_GB2312"/>
                <w:kern w:val="0"/>
                <w:sz w:val="24"/>
              </w:rPr>
              <w:t>推广适宜技术。</w:t>
            </w:r>
          </w:p>
        </w:tc>
        <w:tc>
          <w:tcPr>
            <w:tcW w:w="2977" w:type="dxa"/>
          </w:tcPr>
          <w:p>
            <w:pPr>
              <w:adjustRightInd w:val="0"/>
              <w:snapToGrid w:val="0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24"/>
        </w:rPr>
      </w:pPr>
    </w:p>
    <w:p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  <w:sectPr>
          <w:pgSz w:w="11906" w:h="16838"/>
          <w:pgMar w:top="1701" w:right="1418" w:bottom="1418" w:left="170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全区行风专项整治工作督查表三</w:t>
      </w:r>
    </w:p>
    <w:p>
      <w:pPr>
        <w:adjustRightInd w:val="0"/>
        <w:snapToGrid w:val="0"/>
        <w:spacing w:line="7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（违规采购）</w:t>
      </w:r>
    </w:p>
    <w:p>
      <w:pPr>
        <w:adjustRightInd w:val="0"/>
        <w:snapToGrid w:val="0"/>
        <w:spacing w:line="560" w:lineRule="exact"/>
        <w:rPr>
          <w:rFonts w:asciiTheme="minorEastAsia" w:hAnsiTheme="minorEastAsia" w:eastAsiaTheme="minorEastAsia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督查组成员（签字）：                  受检单位（签字）：</w:t>
      </w:r>
    </w:p>
    <w:tbl>
      <w:tblPr>
        <w:tblStyle w:val="8"/>
        <w:tblW w:w="8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461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检查要点</w:t>
            </w:r>
          </w:p>
        </w:tc>
        <w:tc>
          <w:tcPr>
            <w:tcW w:w="46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检查项目及要求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检查结果（亮点与不足）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6" w:hRule="atLeast"/>
        </w:trPr>
        <w:tc>
          <w:tcPr>
            <w:tcW w:w="15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反商业贿赂的宣传和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制度</w:t>
            </w:r>
          </w:p>
        </w:tc>
        <w:tc>
          <w:tcPr>
            <w:tcW w:w="4617" w:type="dxa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.是否建立健全决策权、执行权、监督权既相互制约又相互协调的权力结构和运行机制：领导班子主要负责人不直接分管人事、财务、基建和物资采购工作，同一领导班子成员不同时分管人事、财务、物资采购工作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2.是否在干部职工中开展纪律法制教育和警示教育，组织学习商业贿赂相关法律法规，利用发生在本系统本地区本单位的典型案件开展警示教育；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  <w:r>
              <w:rPr>
                <w:rFonts w:ascii="仿宋_GB2312" w:eastAsia="仿宋_GB2312"/>
                <w:kern w:val="0"/>
                <w:sz w:val="24"/>
              </w:rPr>
              <w:t>.</w:t>
            </w:r>
            <w:r>
              <w:rPr>
                <w:rFonts w:hint="eastAsia" w:ascii="仿宋_GB2312" w:eastAsia="仿宋_GB2312"/>
                <w:kern w:val="0"/>
                <w:sz w:val="24"/>
              </w:rPr>
              <w:t>是否加强对重点部门和关键岗位人员的监督，建立财务、基建、药剂、信息、采购等部门负责人定期轮岗交流制度。</w:t>
            </w:r>
          </w:p>
        </w:tc>
        <w:tc>
          <w:tcPr>
            <w:tcW w:w="2835" w:type="dxa"/>
          </w:tcPr>
          <w:p>
            <w:pPr>
              <w:adjustRightInd w:val="0"/>
              <w:snapToGrid w:val="0"/>
              <w:textAlignment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5" w:hRule="atLeast"/>
        </w:trPr>
        <w:tc>
          <w:tcPr>
            <w:tcW w:w="15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药品和器械采购管理</w:t>
            </w:r>
          </w:p>
        </w:tc>
        <w:tc>
          <w:tcPr>
            <w:tcW w:w="4617" w:type="dxa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  <w:r>
              <w:rPr>
                <w:rFonts w:ascii="仿宋_GB2312" w:eastAsia="仿宋_GB2312"/>
                <w:kern w:val="0"/>
                <w:sz w:val="24"/>
              </w:rPr>
              <w:t>.</w:t>
            </w:r>
            <w:r>
              <w:rPr>
                <w:rFonts w:hint="eastAsia" w:ascii="仿宋_GB2312" w:eastAsia="仿宋_GB2312"/>
                <w:kern w:val="0"/>
                <w:sz w:val="24"/>
              </w:rPr>
              <w:t>是否加强处方权监管，严格落实药品用量动态监测和超常预警制度、不当处方院内公示和点评制度，推行阳光用药，加强统方管理，是否对信息系统中的药品、耗材使用信息实行加密管理，健全内部制衡机制，严格统方权限和审批程序，安装反统方软件等信息化手段防范非法统方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  <w:r>
              <w:rPr>
                <w:rFonts w:ascii="仿宋_GB2312" w:eastAsia="仿宋_GB2312"/>
                <w:kern w:val="0"/>
                <w:sz w:val="24"/>
              </w:rPr>
              <w:t>.</w:t>
            </w:r>
            <w:r>
              <w:rPr>
                <w:rFonts w:hint="eastAsia" w:ascii="仿宋_GB2312" w:eastAsia="仿宋_GB2312"/>
                <w:kern w:val="0"/>
                <w:sz w:val="24"/>
              </w:rPr>
              <w:t>是否落实医药购销廉洁协议制度；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  <w:r>
              <w:rPr>
                <w:rFonts w:ascii="仿宋_GB2312" w:eastAsia="仿宋_GB2312"/>
                <w:kern w:val="0"/>
                <w:sz w:val="24"/>
              </w:rPr>
              <w:t>.</w:t>
            </w:r>
            <w:r>
              <w:rPr>
                <w:rFonts w:hint="eastAsia" w:ascii="仿宋_GB2312" w:eastAsia="仿宋_GB2312"/>
                <w:kern w:val="0"/>
                <w:sz w:val="24"/>
              </w:rPr>
              <w:t>落实医药购销领域商业贿赂不良记录制度，对经执法执纪机关查处向本单位或工作人员行贿的企业或个人名单，及时如实上报卫生计生行政部门；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4.医疗机构推行药品购销“两票制”。建立购销药品的完备记录；在药品购销过程中，按规定开具相关票证，票据账目、货物、货单、货款不一致；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5.医疗机构假借租赁、捐赠、投放设备等形式，捆绑耗材和配套设备销售等涉嫌商业贿赂不正当竞争行为；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6.医疗机构租借证照、虚假交易、伪造记录、非法渠道购药品、商业贿赂、价格欺诈、价格垄断以及伪造、虚开发票等违法违规行为；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.医疗卫生人员违规私自采购、销售、使用药品、医疗器械医用卫生材料等医药产品。利用各种途径和方式为商业目的统计医师个人及临床科室有关药品、医用卫生材料的用量信息；或为医药营销人员统计提供便利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8.收受药品、医疗器械、医用卫生材料等医药产品生产、经营企业或经销人员以各种名义、形式给予的回扣；或参加其安排、组织或支付费用的营业性娱乐场所的娱乐活动；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9.医疗卫生人员索取或收受患者及其亲友的现金、有价证券支付凭证和贵重礼品。</w:t>
            </w:r>
          </w:p>
        </w:tc>
        <w:tc>
          <w:tcPr>
            <w:tcW w:w="2835" w:type="dxa"/>
          </w:tcPr>
          <w:p>
            <w:pPr>
              <w:adjustRightInd w:val="0"/>
              <w:snapToGrid w:val="0"/>
              <w:textAlignment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6" w:hRule="atLeast"/>
        </w:trPr>
        <w:tc>
          <w:tcPr>
            <w:tcW w:w="15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固定资产和基建项目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管理</w:t>
            </w:r>
          </w:p>
        </w:tc>
        <w:tc>
          <w:tcPr>
            <w:tcW w:w="4617" w:type="dxa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1.健全固定资产管理制度和岗位责任制，明确相关部门和岗位的职责、权限；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2.</w:t>
            </w:r>
            <w:r>
              <w:rPr>
                <w:rFonts w:hint="eastAsia" w:ascii="仿宋_GB2312" w:eastAsia="仿宋_GB2312"/>
                <w:kern w:val="0"/>
                <w:sz w:val="24"/>
              </w:rPr>
              <w:t>定期清查盘点，核对固定资产总账、明细分类和实物账，做到账账相符、账实相符；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3.</w:t>
            </w:r>
            <w:r>
              <w:rPr>
                <w:rFonts w:hint="eastAsia" w:ascii="仿宋_GB2312" w:eastAsia="仿宋_GB2312"/>
                <w:kern w:val="0"/>
                <w:sz w:val="24"/>
              </w:rPr>
              <w:t>严格执行固定资产的报废审批手续，确保固定资产处置的合规合法，不得擅自处置；处置收入是否上交财政，资产出租出借是否经过批准；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4.</w:t>
            </w:r>
            <w:r>
              <w:rPr>
                <w:rFonts w:hint="eastAsia" w:ascii="仿宋_GB2312" w:eastAsia="仿宋_GB2312"/>
                <w:kern w:val="0"/>
                <w:sz w:val="24"/>
              </w:rPr>
              <w:t>在建工程项目按国家相关规定要求办理；单独建帐、核算。严格控制工程成本；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5.</w:t>
            </w:r>
            <w:r>
              <w:rPr>
                <w:rFonts w:hint="eastAsia" w:ascii="仿宋_GB2312" w:eastAsia="仿宋_GB2312"/>
                <w:kern w:val="0"/>
                <w:sz w:val="24"/>
              </w:rPr>
              <w:t>依据《医疗机构财务会计内部控制规定》要求：未经决算审计的工程项目，不得办理固定资产移交手续；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6.建立大型设备购置、工程项目的立项论证、效益评估制度并有效实施。严格遵守《政府采购法》《招标投标法》。</w:t>
            </w:r>
          </w:p>
        </w:tc>
        <w:tc>
          <w:tcPr>
            <w:tcW w:w="2835" w:type="dxa"/>
          </w:tcPr>
          <w:p>
            <w:pPr>
              <w:adjustRightInd w:val="0"/>
              <w:snapToGrid w:val="0"/>
              <w:textAlignment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24"/>
        </w:rPr>
        <w:sectPr>
          <w:pgSz w:w="11906" w:h="16838"/>
          <w:pgMar w:top="1701" w:right="1418" w:bottom="1418" w:left="170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24"/>
        </w:rPr>
      </w:pPr>
    </w:p>
    <w:p>
      <w:pPr>
        <w:widowControl/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信息公开形式：主动公开</w:t>
      </w:r>
    </w:p>
    <w:p>
      <w:pPr>
        <w:widowControl/>
        <w:adjustRightInd w:val="0"/>
        <w:snapToGrid w:val="0"/>
        <w:spacing w:line="560" w:lineRule="exact"/>
        <w:ind w:firstLine="315" w:firstLineChars="150"/>
        <w:rPr>
          <w:rFonts w:ascii="黑体" w:eastAsia="黑体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534025" cy="0"/>
                <wp:effectExtent l="9525" t="9525" r="9525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5pt;height:0pt;width:435.75pt;z-index:251659264;mso-width-relative:page;mso-height-relative:page;" filled="f" stroked="t" coordsize="21600,21600" o:gfxdata="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5NNodQAAAAEAQAADwAAAAAAAAABACAAAAAiAAAAZHJzL2Rvd25y&#10;ZXYueG1sUEsBAhQAFAAAAAgAh07iQEmOW/LJAQAAXAMAAA4AAAAAAAAAAQAgAAAAIwEAAGRycy9l&#10;Mm9Eb2MueG1sUEsFBgAAAAAGAAYAWQEAAF4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384810</wp:posOffset>
                </wp:positionV>
                <wp:extent cx="5534025" cy="0"/>
                <wp:effectExtent l="9525" t="13335" r="9525" b="57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30.3pt;height:0pt;width:435.75pt;z-index:251660288;mso-width-relative:page;mso-height-relative:page;" filled="f" stroked="t" coordsize="21600,21600" o:gfxdata="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uKyEPWAAAABwEAAA8AAAAAAAAAAQAgAAAAIgAAAGRycy9kb3du&#10;cmV2LnhtbFBLAQIUABQAAAAIAIdO4kCdBVhWyAEAAFwDAAAOAAAAAAAAAAEAIAAAACUBAABkcnMv&#10;ZTJvRG9jLnhtbFBLBQYAAAAABgAGAFkBAABfBQAA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仿宋_GB2312"/>
          <w:sz w:val="28"/>
          <w:szCs w:val="28"/>
        </w:rPr>
        <w:t>广西壮族自治区卫生计生委办公室</w:t>
      </w:r>
      <w:r>
        <w:rPr>
          <w:rFonts w:ascii="仿宋_GB2312" w:eastAsia="仿宋_GB2312" w:cs="仿宋_GB2312"/>
          <w:sz w:val="28"/>
          <w:szCs w:val="28"/>
        </w:rPr>
        <w:t xml:space="preserve">        201</w:t>
      </w:r>
      <w:r>
        <w:rPr>
          <w:rFonts w:hint="eastAsia" w:ascii="仿宋_GB2312" w:eastAsia="仿宋_GB2312" w:cs="仿宋_GB2312"/>
          <w:sz w:val="28"/>
          <w:szCs w:val="28"/>
        </w:rPr>
        <w:t>8年8月30日印发</w:t>
      </w:r>
    </w:p>
    <w:sectPr>
      <w:pgSz w:w="11906" w:h="16838"/>
      <w:pgMar w:top="1701" w:right="1418" w:bottom="1418" w:left="170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1173457045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-1039508169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16 -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D6"/>
    <w:rsid w:val="000622A6"/>
    <w:rsid w:val="000663D3"/>
    <w:rsid w:val="000B4BF2"/>
    <w:rsid w:val="000E43EE"/>
    <w:rsid w:val="000E7008"/>
    <w:rsid w:val="000F0392"/>
    <w:rsid w:val="00102EA7"/>
    <w:rsid w:val="00132C7B"/>
    <w:rsid w:val="0014421E"/>
    <w:rsid w:val="0015786F"/>
    <w:rsid w:val="001624E5"/>
    <w:rsid w:val="00181F59"/>
    <w:rsid w:val="001D64D7"/>
    <w:rsid w:val="001E5550"/>
    <w:rsid w:val="00206AEF"/>
    <w:rsid w:val="0022276D"/>
    <w:rsid w:val="0023169D"/>
    <w:rsid w:val="00231E78"/>
    <w:rsid w:val="00246331"/>
    <w:rsid w:val="00254529"/>
    <w:rsid w:val="00273A5F"/>
    <w:rsid w:val="002933EB"/>
    <w:rsid w:val="002A013F"/>
    <w:rsid w:val="002A73E3"/>
    <w:rsid w:val="002B75F8"/>
    <w:rsid w:val="002C26CE"/>
    <w:rsid w:val="002D1809"/>
    <w:rsid w:val="002E3AC2"/>
    <w:rsid w:val="0030071F"/>
    <w:rsid w:val="00321396"/>
    <w:rsid w:val="00327855"/>
    <w:rsid w:val="0033678C"/>
    <w:rsid w:val="00346893"/>
    <w:rsid w:val="003A53B5"/>
    <w:rsid w:val="003D1913"/>
    <w:rsid w:val="003E49F7"/>
    <w:rsid w:val="00403F21"/>
    <w:rsid w:val="0041195E"/>
    <w:rsid w:val="00440477"/>
    <w:rsid w:val="004502E6"/>
    <w:rsid w:val="00465A64"/>
    <w:rsid w:val="00487431"/>
    <w:rsid w:val="00497A26"/>
    <w:rsid w:val="004B45EC"/>
    <w:rsid w:val="004C6BD3"/>
    <w:rsid w:val="004E7CC1"/>
    <w:rsid w:val="004F6247"/>
    <w:rsid w:val="0050270A"/>
    <w:rsid w:val="0050540E"/>
    <w:rsid w:val="00553BD9"/>
    <w:rsid w:val="005A535F"/>
    <w:rsid w:val="005B377E"/>
    <w:rsid w:val="005C4064"/>
    <w:rsid w:val="005D3148"/>
    <w:rsid w:val="005D71F9"/>
    <w:rsid w:val="005E6E48"/>
    <w:rsid w:val="005F428D"/>
    <w:rsid w:val="006075E1"/>
    <w:rsid w:val="00636B4A"/>
    <w:rsid w:val="0065072D"/>
    <w:rsid w:val="00650E6F"/>
    <w:rsid w:val="00654123"/>
    <w:rsid w:val="006608D5"/>
    <w:rsid w:val="0066654C"/>
    <w:rsid w:val="006774BD"/>
    <w:rsid w:val="006803BC"/>
    <w:rsid w:val="0068590F"/>
    <w:rsid w:val="00690805"/>
    <w:rsid w:val="00710AF7"/>
    <w:rsid w:val="00741133"/>
    <w:rsid w:val="00751188"/>
    <w:rsid w:val="00754699"/>
    <w:rsid w:val="007567BB"/>
    <w:rsid w:val="00760508"/>
    <w:rsid w:val="007727F1"/>
    <w:rsid w:val="0078075A"/>
    <w:rsid w:val="007923EB"/>
    <w:rsid w:val="007C3886"/>
    <w:rsid w:val="007E3C01"/>
    <w:rsid w:val="007F332A"/>
    <w:rsid w:val="007F3C4C"/>
    <w:rsid w:val="00812B80"/>
    <w:rsid w:val="00831E83"/>
    <w:rsid w:val="00841EC1"/>
    <w:rsid w:val="008451B4"/>
    <w:rsid w:val="00847A51"/>
    <w:rsid w:val="00882E26"/>
    <w:rsid w:val="00885655"/>
    <w:rsid w:val="008B5E3F"/>
    <w:rsid w:val="008B7364"/>
    <w:rsid w:val="008C3C3D"/>
    <w:rsid w:val="008D104E"/>
    <w:rsid w:val="008F31D5"/>
    <w:rsid w:val="008F40DA"/>
    <w:rsid w:val="0093732E"/>
    <w:rsid w:val="00945A8A"/>
    <w:rsid w:val="0095482C"/>
    <w:rsid w:val="00981919"/>
    <w:rsid w:val="009932EE"/>
    <w:rsid w:val="009C1F38"/>
    <w:rsid w:val="009D7477"/>
    <w:rsid w:val="009E250D"/>
    <w:rsid w:val="009F49F0"/>
    <w:rsid w:val="00A234AF"/>
    <w:rsid w:val="00AA140E"/>
    <w:rsid w:val="00AA767D"/>
    <w:rsid w:val="00AC0793"/>
    <w:rsid w:val="00AE40A7"/>
    <w:rsid w:val="00AF79CE"/>
    <w:rsid w:val="00B16877"/>
    <w:rsid w:val="00B25A6A"/>
    <w:rsid w:val="00B37BE1"/>
    <w:rsid w:val="00B675EA"/>
    <w:rsid w:val="00B72E8F"/>
    <w:rsid w:val="00B807C7"/>
    <w:rsid w:val="00B92F41"/>
    <w:rsid w:val="00B9497F"/>
    <w:rsid w:val="00B96388"/>
    <w:rsid w:val="00BA4B0E"/>
    <w:rsid w:val="00BC517E"/>
    <w:rsid w:val="00BD3620"/>
    <w:rsid w:val="00BD6331"/>
    <w:rsid w:val="00BD7135"/>
    <w:rsid w:val="00C14690"/>
    <w:rsid w:val="00C3598F"/>
    <w:rsid w:val="00C377F2"/>
    <w:rsid w:val="00C437DC"/>
    <w:rsid w:val="00C54BD9"/>
    <w:rsid w:val="00C6359A"/>
    <w:rsid w:val="00C852C2"/>
    <w:rsid w:val="00C91661"/>
    <w:rsid w:val="00C94DBC"/>
    <w:rsid w:val="00CE1346"/>
    <w:rsid w:val="00CE2535"/>
    <w:rsid w:val="00CE5FD6"/>
    <w:rsid w:val="00CF7471"/>
    <w:rsid w:val="00D3608D"/>
    <w:rsid w:val="00D92A4B"/>
    <w:rsid w:val="00E05756"/>
    <w:rsid w:val="00E108CB"/>
    <w:rsid w:val="00E16ABB"/>
    <w:rsid w:val="00E215DA"/>
    <w:rsid w:val="00E24ED4"/>
    <w:rsid w:val="00E467D6"/>
    <w:rsid w:val="00E53C4F"/>
    <w:rsid w:val="00E63961"/>
    <w:rsid w:val="00E9591F"/>
    <w:rsid w:val="00EA6544"/>
    <w:rsid w:val="00EC09D5"/>
    <w:rsid w:val="00EC56E0"/>
    <w:rsid w:val="00ED5286"/>
    <w:rsid w:val="00ED6D17"/>
    <w:rsid w:val="00EE2AB9"/>
    <w:rsid w:val="00EF71A3"/>
    <w:rsid w:val="00F17525"/>
    <w:rsid w:val="00F20AA9"/>
    <w:rsid w:val="00F23161"/>
    <w:rsid w:val="00FE1847"/>
    <w:rsid w:val="00FF4AB1"/>
    <w:rsid w:val="53E5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18</Pages>
  <Words>1146</Words>
  <Characters>6534</Characters>
  <Lines>54</Lines>
  <Paragraphs>15</Paragraphs>
  <TotalTime>31</TotalTime>
  <ScaleCrop>false</ScaleCrop>
  <LinksUpToDate>false</LinksUpToDate>
  <CharactersWithSpaces>7665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2018-08-30T00:28:00Z</dcterms:created>
  <dc:creator>Sky123.Org</dc:creator>
  <cp:lastModifiedBy>DELL</cp:lastModifiedBy>
  <cp:lastPrinted>2018-08-30T02:39:00Z</cp:lastPrinted>
  <dcterms:modified xsi:type="dcterms:W3CDTF">2018-08-30T09:10:46Z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