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9BDE" w14:textId="3C3EDC19"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附件一</w:t>
      </w:r>
    </w:p>
    <w:p w14:paraId="70102F50" w14:textId="77777777" w:rsidR="00B46FCD" w:rsidRDefault="00B46FCD" w:rsidP="000E3E14">
      <w:pPr>
        <w:spacing w:line="520" w:lineRule="exact"/>
        <w:rPr>
          <w:rFonts w:ascii="仿宋_GB2312" w:eastAsia="仿宋_GB2312"/>
          <w:sz w:val="32"/>
          <w:szCs w:val="32"/>
        </w:rPr>
      </w:pPr>
      <w:r>
        <w:rPr>
          <w:rFonts w:ascii="仿宋_GB2312" w:eastAsia="仿宋_GB2312" w:hint="eastAsia"/>
          <w:sz w:val="32"/>
          <w:szCs w:val="32"/>
        </w:rPr>
        <w:t xml:space="preserve"> </w:t>
      </w:r>
    </w:p>
    <w:tbl>
      <w:tblPr>
        <w:tblW w:w="8595" w:type="dxa"/>
        <w:tblLayout w:type="fixed"/>
        <w:tblLook w:val="04A0" w:firstRow="1" w:lastRow="0" w:firstColumn="1" w:lastColumn="0" w:noHBand="0" w:noVBand="1"/>
      </w:tblPr>
      <w:tblGrid>
        <w:gridCol w:w="1413"/>
        <w:gridCol w:w="4536"/>
        <w:gridCol w:w="1984"/>
        <w:gridCol w:w="662"/>
      </w:tblGrid>
      <w:tr w:rsidR="00B46FCD" w:rsidRPr="00B46FCD" w14:paraId="6008B467" w14:textId="77777777" w:rsidTr="00B46FCD">
        <w:trPr>
          <w:gridAfter w:val="1"/>
          <w:wAfter w:w="662" w:type="dxa"/>
          <w:trHeight w:val="855"/>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F3FFDB" w14:textId="77777777" w:rsidR="00B46FCD" w:rsidRPr="00B46FCD" w:rsidRDefault="00B46FCD" w:rsidP="00B46FCD">
            <w:pPr>
              <w:widowControl/>
              <w:jc w:val="center"/>
              <w:rPr>
                <w:rFonts w:ascii="仿宋_GB2312" w:eastAsia="仿宋_GB2312" w:hAnsi="宋体" w:cs="宋体"/>
                <w:b/>
                <w:bCs/>
                <w:kern w:val="0"/>
                <w:sz w:val="32"/>
                <w:szCs w:val="32"/>
              </w:rPr>
            </w:pPr>
            <w:r w:rsidRPr="00B46FCD">
              <w:rPr>
                <w:rFonts w:ascii="仿宋_GB2312" w:eastAsia="仿宋_GB2312" w:hAnsi="宋体" w:cs="宋体" w:hint="eastAsia"/>
                <w:b/>
                <w:bCs/>
                <w:kern w:val="0"/>
                <w:sz w:val="32"/>
                <w:szCs w:val="32"/>
              </w:rPr>
              <w:t>序号</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AB4EB3" w14:textId="77777777" w:rsidR="00B46FCD" w:rsidRPr="00B46FCD" w:rsidRDefault="00B46FCD" w:rsidP="00B46FCD">
            <w:pPr>
              <w:widowControl/>
              <w:jc w:val="center"/>
              <w:rPr>
                <w:rFonts w:ascii="仿宋_GB2312" w:eastAsia="仿宋_GB2312" w:hAnsi="宋体" w:cs="宋体" w:hint="eastAsia"/>
                <w:b/>
                <w:bCs/>
                <w:kern w:val="0"/>
                <w:sz w:val="32"/>
                <w:szCs w:val="32"/>
              </w:rPr>
            </w:pPr>
            <w:r w:rsidRPr="00B46FCD">
              <w:rPr>
                <w:rFonts w:ascii="仿宋_GB2312" w:eastAsia="仿宋_GB2312" w:hAnsi="宋体" w:cs="宋体" w:hint="eastAsia"/>
                <w:b/>
                <w:bCs/>
                <w:kern w:val="0"/>
                <w:sz w:val="32"/>
                <w:szCs w:val="32"/>
              </w:rPr>
              <w:t>设备名称</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6A1085" w14:textId="77777777" w:rsidR="00B46FCD" w:rsidRPr="00B46FCD" w:rsidRDefault="00B46FCD" w:rsidP="00B46FCD">
            <w:pPr>
              <w:widowControl/>
              <w:jc w:val="center"/>
              <w:rPr>
                <w:rFonts w:ascii="仿宋_GB2312" w:eastAsia="仿宋_GB2312" w:hAnsi="宋体" w:cs="宋体" w:hint="eastAsia"/>
                <w:b/>
                <w:bCs/>
                <w:kern w:val="0"/>
                <w:sz w:val="32"/>
                <w:szCs w:val="32"/>
              </w:rPr>
            </w:pPr>
            <w:r w:rsidRPr="00B46FCD">
              <w:rPr>
                <w:rFonts w:ascii="仿宋_GB2312" w:eastAsia="仿宋_GB2312" w:hAnsi="宋体" w:cs="宋体" w:hint="eastAsia"/>
                <w:b/>
                <w:bCs/>
                <w:kern w:val="0"/>
                <w:sz w:val="32"/>
                <w:szCs w:val="32"/>
              </w:rPr>
              <w:t>数量</w:t>
            </w:r>
          </w:p>
        </w:tc>
      </w:tr>
      <w:tr w:rsidR="00B46FCD" w:rsidRPr="00B46FCD" w14:paraId="36A15E62" w14:textId="77777777" w:rsidTr="00B46FCD">
        <w:trPr>
          <w:trHeight w:val="15"/>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48FDB772" w14:textId="77777777" w:rsidR="00B46FCD" w:rsidRPr="00B46FCD" w:rsidRDefault="00B46FCD" w:rsidP="00B46FCD">
            <w:pPr>
              <w:widowControl/>
              <w:jc w:val="left"/>
              <w:rPr>
                <w:rFonts w:ascii="仿宋_GB2312" w:eastAsia="仿宋_GB2312" w:hAnsi="宋体" w:cs="宋体"/>
                <w:b/>
                <w:bCs/>
                <w:kern w:val="0"/>
                <w:sz w:val="32"/>
                <w:szCs w:val="3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14:paraId="48737D0F" w14:textId="77777777" w:rsidR="00B46FCD" w:rsidRPr="00B46FCD" w:rsidRDefault="00B46FCD" w:rsidP="00B46FCD">
            <w:pPr>
              <w:widowControl/>
              <w:jc w:val="left"/>
              <w:rPr>
                <w:rFonts w:ascii="仿宋_GB2312" w:eastAsia="仿宋_GB2312" w:hAnsi="宋体" w:cs="宋体"/>
                <w:b/>
                <w:bCs/>
                <w:kern w:val="0"/>
                <w:sz w:val="32"/>
                <w:szCs w:val="3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86DC978" w14:textId="77777777" w:rsidR="00B46FCD" w:rsidRPr="00B46FCD" w:rsidRDefault="00B46FCD" w:rsidP="00B46FCD">
            <w:pPr>
              <w:widowControl/>
              <w:jc w:val="left"/>
              <w:rPr>
                <w:rFonts w:ascii="仿宋_GB2312" w:eastAsia="仿宋_GB2312" w:hAnsi="宋体" w:cs="宋体"/>
                <w:b/>
                <w:bCs/>
                <w:kern w:val="0"/>
                <w:sz w:val="32"/>
                <w:szCs w:val="32"/>
              </w:rPr>
            </w:pPr>
          </w:p>
        </w:tc>
        <w:tc>
          <w:tcPr>
            <w:tcW w:w="662" w:type="dxa"/>
            <w:tcBorders>
              <w:top w:val="nil"/>
              <w:left w:val="nil"/>
              <w:bottom w:val="nil"/>
              <w:right w:val="nil"/>
            </w:tcBorders>
            <w:shd w:val="clear" w:color="auto" w:fill="auto"/>
            <w:noWrap/>
            <w:vAlign w:val="center"/>
            <w:hideMark/>
          </w:tcPr>
          <w:p w14:paraId="46D6B9C4" w14:textId="77777777" w:rsidR="00B46FCD" w:rsidRPr="00B46FCD" w:rsidRDefault="00B46FCD" w:rsidP="00B46FCD">
            <w:pPr>
              <w:widowControl/>
              <w:jc w:val="center"/>
              <w:rPr>
                <w:rFonts w:ascii="仿宋_GB2312" w:eastAsia="仿宋_GB2312" w:hAnsi="宋体" w:cs="宋体" w:hint="eastAsia"/>
                <w:b/>
                <w:bCs/>
                <w:kern w:val="0"/>
                <w:sz w:val="32"/>
                <w:szCs w:val="32"/>
              </w:rPr>
            </w:pPr>
          </w:p>
        </w:tc>
      </w:tr>
      <w:tr w:rsidR="00B46FCD" w:rsidRPr="00B46FCD" w14:paraId="1EC5D70A" w14:textId="77777777" w:rsidTr="00B46FCD">
        <w:trPr>
          <w:trHeight w:val="10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7AEA8B2" w14:textId="77777777" w:rsidR="00B46FCD" w:rsidRPr="00B46FCD" w:rsidRDefault="00B46FCD" w:rsidP="00B46FCD">
            <w:pPr>
              <w:widowControl/>
              <w:jc w:val="center"/>
              <w:rPr>
                <w:rFonts w:ascii="仿宋_GB2312" w:eastAsia="仿宋_GB2312" w:hAnsi="宋体" w:cs="宋体"/>
                <w:kern w:val="0"/>
                <w:sz w:val="32"/>
                <w:szCs w:val="32"/>
              </w:rPr>
            </w:pPr>
            <w:r w:rsidRPr="00B46FCD">
              <w:rPr>
                <w:rFonts w:ascii="仿宋_GB2312" w:eastAsia="仿宋_GB2312" w:hAnsi="宋体" w:cs="宋体" w:hint="eastAsia"/>
                <w:kern w:val="0"/>
                <w:sz w:val="32"/>
                <w:szCs w:val="32"/>
              </w:rPr>
              <w:t>1</w:t>
            </w:r>
          </w:p>
        </w:tc>
        <w:tc>
          <w:tcPr>
            <w:tcW w:w="4536" w:type="dxa"/>
            <w:tcBorders>
              <w:top w:val="nil"/>
              <w:left w:val="nil"/>
              <w:bottom w:val="single" w:sz="4" w:space="0" w:color="auto"/>
              <w:right w:val="single" w:sz="4" w:space="0" w:color="auto"/>
            </w:tcBorders>
            <w:shd w:val="clear" w:color="auto" w:fill="auto"/>
            <w:vAlign w:val="center"/>
            <w:hideMark/>
          </w:tcPr>
          <w:p w14:paraId="328A9F5D" w14:textId="77777777" w:rsidR="00B46FCD" w:rsidRPr="00B46FCD" w:rsidRDefault="00B46FCD" w:rsidP="00B46FCD">
            <w:pPr>
              <w:widowControl/>
              <w:jc w:val="left"/>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磁刺激仪</w:t>
            </w:r>
          </w:p>
        </w:tc>
        <w:tc>
          <w:tcPr>
            <w:tcW w:w="1984" w:type="dxa"/>
            <w:tcBorders>
              <w:top w:val="nil"/>
              <w:left w:val="nil"/>
              <w:bottom w:val="single" w:sz="4" w:space="0" w:color="auto"/>
              <w:right w:val="single" w:sz="4" w:space="0" w:color="auto"/>
            </w:tcBorders>
            <w:shd w:val="clear" w:color="auto" w:fill="auto"/>
            <w:vAlign w:val="center"/>
            <w:hideMark/>
          </w:tcPr>
          <w:p w14:paraId="12F5BE90" w14:textId="77777777" w:rsidR="00B46FCD" w:rsidRPr="00B46FCD" w:rsidRDefault="00B46FCD" w:rsidP="00B46FCD">
            <w:pPr>
              <w:widowControl/>
              <w:jc w:val="center"/>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1</w:t>
            </w:r>
          </w:p>
        </w:tc>
        <w:tc>
          <w:tcPr>
            <w:tcW w:w="662" w:type="dxa"/>
            <w:vAlign w:val="center"/>
            <w:hideMark/>
          </w:tcPr>
          <w:p w14:paraId="789C49BD" w14:textId="77777777" w:rsidR="00B46FCD" w:rsidRPr="00B46FCD" w:rsidRDefault="00B46FCD" w:rsidP="00B46FCD">
            <w:pPr>
              <w:widowControl/>
              <w:jc w:val="left"/>
              <w:rPr>
                <w:rFonts w:ascii="Times New Roman" w:eastAsia="Times New Roman" w:hAnsi="Times New Roman"/>
                <w:kern w:val="0"/>
                <w:sz w:val="20"/>
                <w:szCs w:val="20"/>
              </w:rPr>
            </w:pPr>
          </w:p>
        </w:tc>
      </w:tr>
      <w:tr w:rsidR="00B46FCD" w:rsidRPr="00B46FCD" w14:paraId="64756B20" w14:textId="77777777" w:rsidTr="00B46FCD">
        <w:trPr>
          <w:trHeight w:val="10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6D76C62" w14:textId="77777777" w:rsidR="00B46FCD" w:rsidRPr="00B46FCD" w:rsidRDefault="00B46FCD" w:rsidP="00B46FCD">
            <w:pPr>
              <w:widowControl/>
              <w:jc w:val="center"/>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2</w:t>
            </w:r>
          </w:p>
        </w:tc>
        <w:tc>
          <w:tcPr>
            <w:tcW w:w="4536" w:type="dxa"/>
            <w:tcBorders>
              <w:top w:val="nil"/>
              <w:left w:val="nil"/>
              <w:bottom w:val="single" w:sz="4" w:space="0" w:color="auto"/>
              <w:right w:val="single" w:sz="4" w:space="0" w:color="auto"/>
            </w:tcBorders>
            <w:shd w:val="clear" w:color="auto" w:fill="auto"/>
            <w:vAlign w:val="center"/>
            <w:hideMark/>
          </w:tcPr>
          <w:p w14:paraId="3165A599" w14:textId="77777777" w:rsidR="00B46FCD" w:rsidRPr="00B46FCD" w:rsidRDefault="00B46FCD" w:rsidP="00B46FCD">
            <w:pPr>
              <w:widowControl/>
              <w:jc w:val="left"/>
              <w:rPr>
                <w:rFonts w:ascii="仿宋_GB2312" w:eastAsia="仿宋_GB2312" w:hAnsi="宋体" w:cs="宋体" w:hint="eastAsia"/>
                <w:color w:val="000000"/>
                <w:kern w:val="0"/>
                <w:sz w:val="32"/>
                <w:szCs w:val="32"/>
              </w:rPr>
            </w:pPr>
            <w:r w:rsidRPr="00B46FCD">
              <w:rPr>
                <w:rFonts w:ascii="仿宋_GB2312" w:eastAsia="仿宋_GB2312" w:hAnsi="宋体" w:cs="宋体" w:hint="eastAsia"/>
                <w:color w:val="000000"/>
                <w:kern w:val="0"/>
                <w:sz w:val="32"/>
                <w:szCs w:val="32"/>
              </w:rPr>
              <w:t>生物刺激反馈仪</w:t>
            </w:r>
          </w:p>
        </w:tc>
        <w:tc>
          <w:tcPr>
            <w:tcW w:w="1984" w:type="dxa"/>
            <w:tcBorders>
              <w:top w:val="nil"/>
              <w:left w:val="nil"/>
              <w:bottom w:val="single" w:sz="4" w:space="0" w:color="auto"/>
              <w:right w:val="single" w:sz="4" w:space="0" w:color="auto"/>
            </w:tcBorders>
            <w:shd w:val="clear" w:color="auto" w:fill="auto"/>
            <w:vAlign w:val="center"/>
            <w:hideMark/>
          </w:tcPr>
          <w:p w14:paraId="32EA3411" w14:textId="77777777" w:rsidR="00B46FCD" w:rsidRPr="00B46FCD" w:rsidRDefault="00B46FCD" w:rsidP="00B46FCD">
            <w:pPr>
              <w:widowControl/>
              <w:jc w:val="center"/>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1</w:t>
            </w:r>
          </w:p>
        </w:tc>
        <w:tc>
          <w:tcPr>
            <w:tcW w:w="662" w:type="dxa"/>
            <w:vAlign w:val="center"/>
            <w:hideMark/>
          </w:tcPr>
          <w:p w14:paraId="5DDC38A1" w14:textId="77777777" w:rsidR="00B46FCD" w:rsidRPr="00B46FCD" w:rsidRDefault="00B46FCD" w:rsidP="00B46FCD">
            <w:pPr>
              <w:widowControl/>
              <w:jc w:val="left"/>
              <w:rPr>
                <w:rFonts w:ascii="Times New Roman" w:eastAsia="Times New Roman" w:hAnsi="Times New Roman"/>
                <w:kern w:val="0"/>
                <w:sz w:val="20"/>
                <w:szCs w:val="20"/>
              </w:rPr>
            </w:pPr>
          </w:p>
        </w:tc>
      </w:tr>
      <w:tr w:rsidR="00B46FCD" w:rsidRPr="00B46FCD" w14:paraId="15EB2F78" w14:textId="77777777" w:rsidTr="00B46FCD">
        <w:trPr>
          <w:trHeight w:val="10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79BA762" w14:textId="77777777" w:rsidR="00B46FCD" w:rsidRPr="00B46FCD" w:rsidRDefault="00B46FCD" w:rsidP="00B46FCD">
            <w:pPr>
              <w:widowControl/>
              <w:jc w:val="center"/>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3</w:t>
            </w:r>
          </w:p>
        </w:tc>
        <w:tc>
          <w:tcPr>
            <w:tcW w:w="4536" w:type="dxa"/>
            <w:tcBorders>
              <w:top w:val="nil"/>
              <w:left w:val="nil"/>
              <w:bottom w:val="single" w:sz="4" w:space="0" w:color="auto"/>
              <w:right w:val="single" w:sz="4" w:space="0" w:color="auto"/>
            </w:tcBorders>
            <w:shd w:val="clear" w:color="auto" w:fill="auto"/>
            <w:vAlign w:val="center"/>
            <w:hideMark/>
          </w:tcPr>
          <w:p w14:paraId="79711EA2" w14:textId="77777777" w:rsidR="00B46FCD" w:rsidRPr="00B46FCD" w:rsidRDefault="00B46FCD" w:rsidP="00B46FCD">
            <w:pPr>
              <w:widowControl/>
              <w:jc w:val="left"/>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婴儿</w:t>
            </w:r>
            <w:proofErr w:type="gramStart"/>
            <w:r w:rsidRPr="00B46FCD">
              <w:rPr>
                <w:rFonts w:ascii="仿宋_GB2312" w:eastAsia="仿宋_GB2312" w:hAnsi="宋体" w:cs="宋体" w:hint="eastAsia"/>
                <w:kern w:val="0"/>
                <w:sz w:val="32"/>
                <w:szCs w:val="32"/>
              </w:rPr>
              <w:t>水疗机</w:t>
            </w:r>
            <w:proofErr w:type="gramEnd"/>
          </w:p>
        </w:tc>
        <w:tc>
          <w:tcPr>
            <w:tcW w:w="1984" w:type="dxa"/>
            <w:tcBorders>
              <w:top w:val="nil"/>
              <w:left w:val="nil"/>
              <w:bottom w:val="single" w:sz="4" w:space="0" w:color="auto"/>
              <w:right w:val="single" w:sz="4" w:space="0" w:color="auto"/>
            </w:tcBorders>
            <w:shd w:val="clear" w:color="auto" w:fill="auto"/>
            <w:vAlign w:val="center"/>
            <w:hideMark/>
          </w:tcPr>
          <w:p w14:paraId="3EB2C87D" w14:textId="77777777" w:rsidR="00B46FCD" w:rsidRPr="00B46FCD" w:rsidRDefault="00B46FCD" w:rsidP="00B46FCD">
            <w:pPr>
              <w:widowControl/>
              <w:jc w:val="center"/>
              <w:rPr>
                <w:rFonts w:ascii="仿宋_GB2312" w:eastAsia="仿宋_GB2312" w:hAnsi="宋体" w:cs="宋体" w:hint="eastAsia"/>
                <w:kern w:val="0"/>
                <w:sz w:val="32"/>
                <w:szCs w:val="32"/>
              </w:rPr>
            </w:pPr>
            <w:r w:rsidRPr="00B46FCD">
              <w:rPr>
                <w:rFonts w:ascii="仿宋_GB2312" w:eastAsia="仿宋_GB2312" w:hAnsi="宋体" w:cs="宋体" w:hint="eastAsia"/>
                <w:kern w:val="0"/>
                <w:sz w:val="32"/>
                <w:szCs w:val="32"/>
              </w:rPr>
              <w:t>2</w:t>
            </w:r>
          </w:p>
        </w:tc>
        <w:tc>
          <w:tcPr>
            <w:tcW w:w="662" w:type="dxa"/>
            <w:vAlign w:val="center"/>
            <w:hideMark/>
          </w:tcPr>
          <w:p w14:paraId="6BC23EAC" w14:textId="77777777" w:rsidR="00B46FCD" w:rsidRPr="00B46FCD" w:rsidRDefault="00B46FCD" w:rsidP="00B46FCD">
            <w:pPr>
              <w:widowControl/>
              <w:jc w:val="left"/>
              <w:rPr>
                <w:rFonts w:ascii="Times New Roman" w:eastAsia="Times New Roman" w:hAnsi="Times New Roman"/>
                <w:kern w:val="0"/>
                <w:sz w:val="20"/>
                <w:szCs w:val="20"/>
              </w:rPr>
            </w:pPr>
          </w:p>
        </w:tc>
      </w:tr>
    </w:tbl>
    <w:p w14:paraId="69034F5D" w14:textId="4F2F9912" w:rsidR="000E3E14" w:rsidRDefault="000E3E14" w:rsidP="000E3E14">
      <w:pPr>
        <w:spacing w:line="520" w:lineRule="exact"/>
        <w:rPr>
          <w:rFonts w:ascii="仿宋_GB2312" w:eastAsia="仿宋_GB2312"/>
          <w:sz w:val="32"/>
          <w:szCs w:val="32"/>
        </w:rPr>
      </w:pPr>
    </w:p>
    <w:p w14:paraId="3F089A12" w14:textId="28C0C9E4" w:rsidR="000E3E14" w:rsidRPr="000E3E14" w:rsidRDefault="000E3E14"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w:t>
      </w:r>
      <w:r>
        <w:rPr>
          <w:rFonts w:ascii="仿宋_GB2312" w:eastAsia="仿宋_GB2312" w:hAnsi="黑体" w:hint="eastAsia"/>
          <w:sz w:val="32"/>
          <w:szCs w:val="32"/>
        </w:rPr>
        <w:t>一</w:t>
      </w:r>
      <w:r w:rsidRPr="001F73F9">
        <w:rPr>
          <w:rFonts w:ascii="仿宋_GB2312" w:eastAsia="仿宋_GB2312" w:hAnsi="黑体" w:hint="eastAsia"/>
          <w:sz w:val="32"/>
          <w:szCs w:val="32"/>
        </w:rPr>
        <w:t>）</w:t>
      </w: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F91BC7">
        <w:rPr>
          <w:rFonts w:ascii="仿宋_GB2312" w:eastAsia="仿宋_GB2312"/>
          <w:kern w:val="0"/>
          <w:sz w:val="32"/>
          <w:szCs w:val="32"/>
        </w:rPr>
        <w:t xml:space="preserve"> </w:t>
      </w:r>
      <w:r w:rsidR="00216BB4" w:rsidRPr="00216BB4">
        <w:rPr>
          <w:rFonts w:ascii="仿宋_GB2312" w:eastAsia="仿宋_GB2312" w:hint="eastAsia"/>
          <w:sz w:val="32"/>
          <w:szCs w:val="32"/>
        </w:rPr>
        <w:t>磁刺激仪</w:t>
      </w:r>
    </w:p>
    <w:p w14:paraId="480B84F9" w14:textId="77777777"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14:paraId="4D0ED312" w14:textId="73268B74" w:rsidR="00F91BC7" w:rsidRPr="00F91BC7" w:rsidRDefault="000E3E14" w:rsidP="00F91BC7">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r w:rsidR="00F91BC7" w:rsidRPr="00F91BC7">
        <w:rPr>
          <w:rFonts w:ascii="仿宋_GB2312" w:eastAsia="仿宋_GB2312" w:hAnsi="黑体" w:hint="eastAsia"/>
          <w:sz w:val="32"/>
          <w:szCs w:val="32"/>
        </w:rPr>
        <w:t xml:space="preserve"> </w:t>
      </w:r>
    </w:p>
    <w:p w14:paraId="7F0DC10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w:t>
      </w:r>
      <w:r w:rsidRPr="00F91BC7">
        <w:rPr>
          <w:rFonts w:ascii="仿宋_GB2312" w:eastAsia="仿宋_GB2312" w:hAnsi="黑体" w:hint="eastAsia"/>
          <w:sz w:val="32"/>
          <w:szCs w:val="32"/>
        </w:rPr>
        <w:tab/>
        <w:t xml:space="preserve">整机通过YY/T 0994-2015 磁刺激设备行业标准，通过EMC电磁兼容测试（检测报告）； </w:t>
      </w:r>
    </w:p>
    <w:p w14:paraId="4DB3C958"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w:t>
      </w:r>
      <w:r w:rsidRPr="00F91BC7">
        <w:rPr>
          <w:rFonts w:ascii="仿宋_GB2312" w:eastAsia="仿宋_GB2312" w:hAnsi="黑体" w:hint="eastAsia"/>
          <w:sz w:val="32"/>
          <w:szCs w:val="32"/>
        </w:rPr>
        <w:tab/>
        <w:t>注册证适用范围：神经功能评定和治疗，骶神经功能障碍的辅助治疗。</w:t>
      </w:r>
    </w:p>
    <w:p w14:paraId="054002AC"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3.</w:t>
      </w:r>
      <w:r w:rsidRPr="00F91BC7">
        <w:rPr>
          <w:rFonts w:ascii="仿宋_GB2312" w:eastAsia="仿宋_GB2312" w:hAnsi="黑体" w:hint="eastAsia"/>
          <w:sz w:val="32"/>
          <w:szCs w:val="32"/>
        </w:rPr>
        <w:tab/>
        <w:t>注册证中显示产品结构及组成包含治疗椅。</w:t>
      </w:r>
    </w:p>
    <w:p w14:paraId="03B341D3"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4.</w:t>
      </w:r>
      <w:r w:rsidRPr="00F91BC7">
        <w:rPr>
          <w:rFonts w:ascii="仿宋_GB2312" w:eastAsia="仿宋_GB2312" w:hAnsi="黑体" w:hint="eastAsia"/>
          <w:sz w:val="32"/>
          <w:szCs w:val="32"/>
        </w:rPr>
        <w:tab/>
      </w:r>
      <w:proofErr w:type="gramStart"/>
      <w:r w:rsidRPr="00F91BC7">
        <w:rPr>
          <w:rFonts w:ascii="仿宋_GB2312" w:eastAsia="仿宋_GB2312" w:hAnsi="黑体" w:hint="eastAsia"/>
          <w:sz w:val="32"/>
          <w:szCs w:val="32"/>
        </w:rPr>
        <w:t>治疗椅可电动</w:t>
      </w:r>
      <w:proofErr w:type="gramEnd"/>
      <w:r w:rsidRPr="00F91BC7">
        <w:rPr>
          <w:rFonts w:ascii="仿宋_GB2312" w:eastAsia="仿宋_GB2312" w:hAnsi="黑体" w:hint="eastAsia"/>
          <w:sz w:val="32"/>
          <w:szCs w:val="32"/>
        </w:rPr>
        <w:t>调节座椅靠背及脚踏角度，可实现坐位盆底</w:t>
      </w:r>
      <w:proofErr w:type="gramStart"/>
      <w:r w:rsidRPr="00F91BC7">
        <w:rPr>
          <w:rFonts w:ascii="仿宋_GB2312" w:eastAsia="仿宋_GB2312" w:hAnsi="黑体" w:hint="eastAsia"/>
          <w:sz w:val="32"/>
          <w:szCs w:val="32"/>
        </w:rPr>
        <w:t>肌</w:t>
      </w:r>
      <w:proofErr w:type="gramEnd"/>
      <w:r w:rsidRPr="00F91BC7">
        <w:rPr>
          <w:rFonts w:ascii="仿宋_GB2312" w:eastAsia="仿宋_GB2312" w:hAnsi="黑体" w:hint="eastAsia"/>
          <w:sz w:val="32"/>
          <w:szCs w:val="32"/>
        </w:rPr>
        <w:t>刺激</w:t>
      </w:r>
      <w:proofErr w:type="gramStart"/>
      <w:r w:rsidRPr="00F91BC7">
        <w:rPr>
          <w:rFonts w:ascii="仿宋_GB2312" w:eastAsia="仿宋_GB2312" w:hAnsi="黑体" w:hint="eastAsia"/>
          <w:sz w:val="32"/>
          <w:szCs w:val="32"/>
        </w:rPr>
        <w:t>和躺位骶神经</w:t>
      </w:r>
      <w:proofErr w:type="gramEnd"/>
      <w:r w:rsidRPr="00F91BC7">
        <w:rPr>
          <w:rFonts w:ascii="仿宋_GB2312" w:eastAsia="仿宋_GB2312" w:hAnsi="黑体" w:hint="eastAsia"/>
          <w:sz w:val="32"/>
          <w:szCs w:val="32"/>
        </w:rPr>
        <w:t>磁刺激。</w:t>
      </w:r>
    </w:p>
    <w:p w14:paraId="0EF0FE1E"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5.</w:t>
      </w:r>
      <w:r w:rsidRPr="00F91BC7">
        <w:rPr>
          <w:rFonts w:ascii="仿宋_GB2312" w:eastAsia="仿宋_GB2312" w:hAnsi="黑体" w:hint="eastAsia"/>
          <w:sz w:val="32"/>
          <w:szCs w:val="32"/>
        </w:rPr>
        <w:tab/>
        <w:t>脉冲磁场最大磁感应强度≥6Tesla。</w:t>
      </w:r>
    </w:p>
    <w:p w14:paraId="4E517CC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6.</w:t>
      </w:r>
      <w:r w:rsidRPr="00F91BC7">
        <w:rPr>
          <w:rFonts w:ascii="仿宋_GB2312" w:eastAsia="仿宋_GB2312" w:hAnsi="黑体" w:hint="eastAsia"/>
          <w:sz w:val="32"/>
          <w:szCs w:val="32"/>
        </w:rPr>
        <w:tab/>
        <w:t>▲脉冲磁场最大刺激频率80Hz，0-80Hz可调，当脉冲频率＞1Hz时，频率调节步长为1Hz；当脉冲频率≤1Hz时，频率调节步</w:t>
      </w:r>
      <w:r w:rsidRPr="00F91BC7">
        <w:rPr>
          <w:rFonts w:ascii="仿宋_GB2312" w:eastAsia="仿宋_GB2312" w:hAnsi="黑体" w:hint="eastAsia"/>
          <w:sz w:val="32"/>
          <w:szCs w:val="32"/>
        </w:rPr>
        <w:lastRenderedPageBreak/>
        <w:t>长为0.01Hz。</w:t>
      </w:r>
    </w:p>
    <w:p w14:paraId="272D64E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7.</w:t>
      </w:r>
      <w:r w:rsidRPr="00F91BC7">
        <w:rPr>
          <w:rFonts w:ascii="仿宋_GB2312" w:eastAsia="仿宋_GB2312" w:hAnsi="黑体" w:hint="eastAsia"/>
          <w:sz w:val="32"/>
          <w:szCs w:val="32"/>
        </w:rPr>
        <w:tab/>
        <w:t xml:space="preserve">磁感应强度变化率≥40 </w:t>
      </w:r>
      <w:proofErr w:type="spellStart"/>
      <w:r w:rsidRPr="00F91BC7">
        <w:rPr>
          <w:rFonts w:ascii="仿宋_GB2312" w:eastAsia="仿宋_GB2312" w:hAnsi="黑体" w:hint="eastAsia"/>
          <w:sz w:val="32"/>
          <w:szCs w:val="32"/>
        </w:rPr>
        <w:t>kT</w:t>
      </w:r>
      <w:proofErr w:type="spellEnd"/>
      <w:r w:rsidRPr="00F91BC7">
        <w:rPr>
          <w:rFonts w:ascii="仿宋_GB2312" w:eastAsia="仿宋_GB2312" w:hAnsi="黑体" w:hint="eastAsia"/>
          <w:sz w:val="32"/>
          <w:szCs w:val="32"/>
        </w:rPr>
        <w:t xml:space="preserve">/s～70 </w:t>
      </w:r>
      <w:proofErr w:type="spellStart"/>
      <w:r w:rsidRPr="00F91BC7">
        <w:rPr>
          <w:rFonts w:ascii="仿宋_GB2312" w:eastAsia="仿宋_GB2312" w:hAnsi="黑体" w:hint="eastAsia"/>
          <w:sz w:val="32"/>
          <w:szCs w:val="32"/>
        </w:rPr>
        <w:t>kT</w:t>
      </w:r>
      <w:proofErr w:type="spellEnd"/>
      <w:r w:rsidRPr="00F91BC7">
        <w:rPr>
          <w:rFonts w:ascii="仿宋_GB2312" w:eastAsia="仿宋_GB2312" w:hAnsi="黑体" w:hint="eastAsia"/>
          <w:sz w:val="32"/>
          <w:szCs w:val="32"/>
        </w:rPr>
        <w:t>/s。</w:t>
      </w:r>
    </w:p>
    <w:p w14:paraId="138557CD"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8.</w:t>
      </w:r>
      <w:r w:rsidRPr="00F91BC7">
        <w:rPr>
          <w:rFonts w:ascii="仿宋_GB2312" w:eastAsia="仿宋_GB2312" w:hAnsi="黑体" w:hint="eastAsia"/>
          <w:sz w:val="32"/>
          <w:szCs w:val="32"/>
        </w:rPr>
        <w:tab/>
        <w:t>单脉冲上升时间≤50μs±10μs。</w:t>
      </w:r>
    </w:p>
    <w:p w14:paraId="7D86116F"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9.</w:t>
      </w:r>
      <w:r w:rsidRPr="00F91BC7">
        <w:rPr>
          <w:rFonts w:ascii="仿宋_GB2312" w:eastAsia="仿宋_GB2312" w:hAnsi="黑体" w:hint="eastAsia"/>
          <w:sz w:val="32"/>
          <w:szCs w:val="32"/>
        </w:rPr>
        <w:tab/>
        <w:t>单个脉冲持续时间≥340μs±20μs</w:t>
      </w:r>
    </w:p>
    <w:p w14:paraId="1B57D7D9"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10.</w:t>
      </w:r>
      <w:r w:rsidRPr="00F91BC7">
        <w:rPr>
          <w:rFonts w:ascii="仿宋_GB2312" w:eastAsia="仿宋_GB2312" w:hAnsi="黑体" w:hint="eastAsia"/>
          <w:sz w:val="32"/>
          <w:szCs w:val="32"/>
        </w:rPr>
        <w:tab/>
        <w:t>▲内置不少于4种磁刺激模式：单脉冲刺激模式，重复脉冲刺激模式，爆发序列TBS模式、变频式刺激模式</w:t>
      </w:r>
    </w:p>
    <w:p w14:paraId="14005183"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11.</w:t>
      </w:r>
      <w:r w:rsidRPr="00F91BC7">
        <w:rPr>
          <w:rFonts w:ascii="仿宋_GB2312" w:eastAsia="仿宋_GB2312" w:hAnsi="黑体" w:hint="eastAsia"/>
          <w:sz w:val="32"/>
          <w:szCs w:val="32"/>
        </w:rPr>
        <w:tab/>
        <w:t>重复脉冲刺激模式，爆发序列TBS模式、变频式刺激模式最高可调节频率可达80hz。</w:t>
      </w:r>
    </w:p>
    <w:p w14:paraId="6B43D279"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12.</w:t>
      </w:r>
      <w:r w:rsidRPr="00F91BC7">
        <w:rPr>
          <w:rFonts w:ascii="仿宋_GB2312" w:eastAsia="仿宋_GB2312" w:hAnsi="黑体" w:hint="eastAsia"/>
          <w:sz w:val="32"/>
          <w:szCs w:val="32"/>
        </w:rPr>
        <w:tab/>
        <w:t>任意模式的刺激频率、强度可调节。</w:t>
      </w:r>
    </w:p>
    <w:p w14:paraId="23EE5B87"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13.</w:t>
      </w:r>
      <w:r w:rsidRPr="00F91BC7">
        <w:rPr>
          <w:rFonts w:ascii="仿宋_GB2312" w:eastAsia="仿宋_GB2312" w:hAnsi="黑体" w:hint="eastAsia"/>
          <w:sz w:val="32"/>
          <w:szCs w:val="32"/>
        </w:rPr>
        <w:tab/>
        <w:t>▲Win7以上软件操作平台，200G以上SSD固态硬盘存储，可存储治疗病历及治疗记录，液晶显示屏≥14英寸。</w:t>
      </w:r>
    </w:p>
    <w:p w14:paraId="0A3A0F5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14.</w:t>
      </w:r>
      <w:r w:rsidRPr="00F91BC7">
        <w:rPr>
          <w:rFonts w:ascii="仿宋_GB2312" w:eastAsia="仿宋_GB2312" w:hAnsi="黑体" w:hint="eastAsia"/>
          <w:sz w:val="32"/>
          <w:szCs w:val="32"/>
        </w:rPr>
        <w:tab/>
        <w:t>磁刺激操作软件内置专家方案、自定义方案，可实现病历管理、以及病历打印输出。</w:t>
      </w:r>
    </w:p>
    <w:p w14:paraId="706BCA35"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15.</w:t>
      </w:r>
      <w:r w:rsidRPr="00F91BC7">
        <w:rPr>
          <w:rFonts w:ascii="仿宋_GB2312" w:eastAsia="仿宋_GB2312" w:hAnsi="黑体" w:hint="eastAsia"/>
          <w:sz w:val="32"/>
          <w:szCs w:val="32"/>
        </w:rPr>
        <w:tab/>
        <w:t>方案刺激模式图形（数字）仿真、温度显示与控制保护。</w:t>
      </w:r>
    </w:p>
    <w:p w14:paraId="72393D46"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16.</w:t>
      </w:r>
      <w:r w:rsidRPr="00F91BC7">
        <w:rPr>
          <w:rFonts w:ascii="仿宋_GB2312" w:eastAsia="仿宋_GB2312" w:hAnsi="黑体" w:hint="eastAsia"/>
          <w:sz w:val="32"/>
          <w:szCs w:val="32"/>
        </w:rPr>
        <w:tab/>
        <w:t>治疗中实时显示已完成/剩余脉冲刺激个数及刺激时间</w:t>
      </w:r>
    </w:p>
    <w:p w14:paraId="18F0A789"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17.</w:t>
      </w:r>
      <w:r w:rsidRPr="00F91BC7">
        <w:rPr>
          <w:rFonts w:ascii="仿宋_GB2312" w:eastAsia="仿宋_GB2312" w:hAnsi="黑体" w:hint="eastAsia"/>
          <w:sz w:val="32"/>
          <w:szCs w:val="32"/>
        </w:rPr>
        <w:tab/>
        <w:t>治疗方案库：内置多种临床方案供医生选择；包含压力性尿失禁、急迫性尿失禁、尿频尿急、</w:t>
      </w:r>
      <w:proofErr w:type="gramStart"/>
      <w:r w:rsidRPr="00F91BC7">
        <w:rPr>
          <w:rFonts w:ascii="仿宋_GB2312" w:eastAsia="仿宋_GB2312" w:hAnsi="黑体" w:hint="eastAsia"/>
          <w:sz w:val="32"/>
          <w:szCs w:val="32"/>
        </w:rPr>
        <w:t>尿储留</w:t>
      </w:r>
      <w:proofErr w:type="gramEnd"/>
      <w:r w:rsidRPr="00F91BC7">
        <w:rPr>
          <w:rFonts w:ascii="仿宋_GB2312" w:eastAsia="仿宋_GB2312" w:hAnsi="黑体" w:hint="eastAsia"/>
          <w:sz w:val="32"/>
          <w:szCs w:val="32"/>
        </w:rPr>
        <w:t>、便秘、大便失禁、慢性前列腺炎等多种临床治疗方案。</w:t>
      </w:r>
    </w:p>
    <w:p w14:paraId="6357E50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18.</w:t>
      </w:r>
      <w:r w:rsidRPr="00F91BC7">
        <w:rPr>
          <w:rFonts w:ascii="仿宋_GB2312" w:eastAsia="仿宋_GB2312" w:hAnsi="黑体" w:hint="eastAsia"/>
          <w:sz w:val="32"/>
          <w:szCs w:val="32"/>
        </w:rPr>
        <w:tab/>
        <w:t>▲运动诱发电位采样率≥100kHz。</w:t>
      </w:r>
    </w:p>
    <w:p w14:paraId="3DFAD2A1"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19.</w:t>
      </w:r>
      <w:r w:rsidRPr="00F91BC7">
        <w:rPr>
          <w:rFonts w:ascii="仿宋_GB2312" w:eastAsia="仿宋_GB2312" w:hAnsi="黑体" w:hint="eastAsia"/>
          <w:sz w:val="32"/>
          <w:szCs w:val="32"/>
        </w:rPr>
        <w:tab/>
        <w:t>▲运动诱发电位检查最小分辨率≤0.02μV、检查频率范围不低于：20Hz～500Hz、测量灵敏度范围不低于：1～10000μV。</w:t>
      </w:r>
    </w:p>
    <w:p w14:paraId="5A6F3916"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20.</w:t>
      </w:r>
      <w:r w:rsidRPr="00F91BC7">
        <w:rPr>
          <w:rFonts w:ascii="仿宋_GB2312" w:eastAsia="仿宋_GB2312" w:hAnsi="黑体" w:hint="eastAsia"/>
          <w:sz w:val="32"/>
          <w:szCs w:val="32"/>
        </w:rPr>
        <w:tab/>
        <w:t>可生成肌电</w:t>
      </w:r>
      <w:proofErr w:type="gramStart"/>
      <w:r w:rsidRPr="00F91BC7">
        <w:rPr>
          <w:rFonts w:ascii="仿宋_GB2312" w:eastAsia="仿宋_GB2312" w:hAnsi="黑体" w:hint="eastAsia"/>
          <w:sz w:val="32"/>
          <w:szCs w:val="32"/>
        </w:rPr>
        <w:t>诱</w:t>
      </w:r>
      <w:proofErr w:type="gramEnd"/>
      <w:r w:rsidRPr="00F91BC7">
        <w:rPr>
          <w:rFonts w:ascii="仿宋_GB2312" w:eastAsia="仿宋_GB2312" w:hAnsi="黑体" w:hint="eastAsia"/>
          <w:sz w:val="32"/>
          <w:szCs w:val="32"/>
        </w:rPr>
        <w:t>电位检测报告，及报告打印输出</w:t>
      </w:r>
    </w:p>
    <w:p w14:paraId="77EDEF95"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21.</w:t>
      </w:r>
      <w:r w:rsidRPr="00F91BC7">
        <w:rPr>
          <w:rFonts w:ascii="仿宋_GB2312" w:eastAsia="仿宋_GB2312" w:hAnsi="黑体" w:hint="eastAsia"/>
          <w:sz w:val="32"/>
          <w:szCs w:val="32"/>
        </w:rPr>
        <w:tab/>
        <w:t>▲液态内循环冷却系统，保证设备24小时不间断运行，可实现系统温度≤40℃，无需外置风扇，无需后期维修（提供检测</w:t>
      </w:r>
      <w:r w:rsidRPr="00F91BC7">
        <w:rPr>
          <w:rFonts w:ascii="仿宋_GB2312" w:eastAsia="仿宋_GB2312" w:hAnsi="黑体" w:hint="eastAsia"/>
          <w:sz w:val="32"/>
          <w:szCs w:val="32"/>
        </w:rPr>
        <w:lastRenderedPageBreak/>
        <w:t>报告或说明书）。</w:t>
      </w:r>
    </w:p>
    <w:p w14:paraId="7E0D2B39"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22.</w:t>
      </w:r>
      <w:r w:rsidRPr="00F91BC7">
        <w:rPr>
          <w:rFonts w:ascii="仿宋_GB2312" w:eastAsia="仿宋_GB2312" w:hAnsi="黑体" w:hint="eastAsia"/>
          <w:sz w:val="32"/>
          <w:szCs w:val="32"/>
        </w:rPr>
        <w:tab/>
        <w:t>开放式设计平台，具备触发输入输出通用接口，可兼容肌电图等设备。</w:t>
      </w:r>
    </w:p>
    <w:p w14:paraId="5A4032E6"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23.</w:t>
      </w:r>
      <w:r w:rsidRPr="00F91BC7">
        <w:rPr>
          <w:rFonts w:ascii="仿宋_GB2312" w:eastAsia="仿宋_GB2312" w:hAnsi="黑体" w:hint="eastAsia"/>
          <w:sz w:val="32"/>
          <w:szCs w:val="32"/>
        </w:rPr>
        <w:tab/>
        <w:t>三重防护系统实时监控线圈温度，安全预警暂停工作，方案限制刺激间歇、保证安全使用。</w:t>
      </w:r>
    </w:p>
    <w:p w14:paraId="6D7C6B4E" w14:textId="77777777" w:rsidR="00D873CF" w:rsidRDefault="00D873CF" w:rsidP="000E3E14">
      <w:pPr>
        <w:spacing w:line="520" w:lineRule="exact"/>
        <w:rPr>
          <w:rFonts w:ascii="仿宋_GB2312" w:eastAsia="仿宋_GB2312" w:hAnsi="黑体"/>
          <w:sz w:val="32"/>
          <w:szCs w:val="32"/>
        </w:rPr>
      </w:pPr>
    </w:p>
    <w:p w14:paraId="592D7A55" w14:textId="0CB3B291" w:rsidR="000E3E14" w:rsidRPr="000E3E14" w:rsidRDefault="00D873CF" w:rsidP="00F91BC7">
      <w:pPr>
        <w:tabs>
          <w:tab w:val="left" w:pos="3255"/>
        </w:tabs>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（二）</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F91BC7">
        <w:rPr>
          <w:rFonts w:ascii="仿宋_GB2312" w:eastAsia="仿宋_GB2312"/>
          <w:kern w:val="0"/>
          <w:sz w:val="32"/>
          <w:szCs w:val="32"/>
        </w:rPr>
        <w:t xml:space="preserve"> </w:t>
      </w:r>
      <w:r w:rsidR="00F91BC7" w:rsidRPr="00F91BC7">
        <w:rPr>
          <w:rFonts w:ascii="仿宋_GB2312" w:eastAsia="仿宋_GB2312" w:hint="eastAsia"/>
          <w:kern w:val="0"/>
          <w:sz w:val="32"/>
          <w:szCs w:val="32"/>
        </w:rPr>
        <w:t>生物刺激反馈仪</w:t>
      </w:r>
    </w:p>
    <w:p w14:paraId="40BAF767" w14:textId="77777777"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：壹台</w:t>
      </w:r>
    </w:p>
    <w:p w14:paraId="4D962FE9"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38E380AF" w14:textId="77777777" w:rsidR="00F91BC7" w:rsidRPr="00F91BC7" w:rsidRDefault="00F91BC7" w:rsidP="00F91BC7">
      <w:pPr>
        <w:spacing w:line="520" w:lineRule="exact"/>
        <w:ind w:firstLineChars="200" w:firstLine="640"/>
        <w:rPr>
          <w:rFonts w:ascii="仿宋_GB2312" w:eastAsia="仿宋_GB2312" w:hAnsi="黑体"/>
          <w:sz w:val="32"/>
          <w:szCs w:val="32"/>
        </w:rPr>
      </w:pPr>
      <w:r w:rsidRPr="00F91BC7">
        <w:rPr>
          <w:rFonts w:ascii="仿宋_GB2312" w:eastAsia="仿宋_GB2312" w:hAnsi="黑体" w:hint="eastAsia"/>
          <w:sz w:val="32"/>
          <w:szCs w:val="32"/>
        </w:rPr>
        <w:t>硬件要求：</w:t>
      </w:r>
    </w:p>
    <w:p w14:paraId="0ACC8614"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  主机：集成化</w:t>
      </w:r>
      <w:proofErr w:type="gramStart"/>
      <w:r w:rsidRPr="00F91BC7">
        <w:rPr>
          <w:rFonts w:ascii="仿宋_GB2312" w:eastAsia="仿宋_GB2312" w:hAnsi="黑体" w:hint="eastAsia"/>
          <w:sz w:val="32"/>
          <w:szCs w:val="32"/>
        </w:rPr>
        <w:t>一</w:t>
      </w:r>
      <w:proofErr w:type="gramEnd"/>
      <w:r w:rsidRPr="00F91BC7">
        <w:rPr>
          <w:rFonts w:ascii="仿宋_GB2312" w:eastAsia="仿宋_GB2312" w:hAnsi="黑体" w:hint="eastAsia"/>
          <w:sz w:val="32"/>
          <w:szCs w:val="32"/>
        </w:rPr>
        <w:t>体式机箱设计（信号采集和电刺激模块与工控机封装于同一机箱内），稳定性和兼容性更有保障，抗电磁干扰性能突出。</w:t>
      </w:r>
    </w:p>
    <w:p w14:paraId="63407233"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 双</w:t>
      </w:r>
      <w:proofErr w:type="gramStart"/>
      <w:r w:rsidRPr="00F91BC7">
        <w:rPr>
          <w:rFonts w:ascii="仿宋_GB2312" w:eastAsia="仿宋_GB2312" w:hAnsi="黑体" w:hint="eastAsia"/>
          <w:sz w:val="32"/>
          <w:szCs w:val="32"/>
        </w:rPr>
        <w:t>屏独立</w:t>
      </w:r>
      <w:proofErr w:type="gramEnd"/>
      <w:r w:rsidRPr="00F91BC7">
        <w:rPr>
          <w:rFonts w:ascii="仿宋_GB2312" w:eastAsia="仿宋_GB2312" w:hAnsi="黑体" w:hint="eastAsia"/>
          <w:sz w:val="32"/>
          <w:szCs w:val="32"/>
        </w:rPr>
        <w:t>显示，两个屏幕尺寸均≥21英寸，支持双人同时进行盆底生物反馈治疗。</w:t>
      </w:r>
    </w:p>
    <w:p w14:paraId="3A69EC90"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3. ★主机多功能物理通道≥4个，其中≥4个电刺激通道（STIM），≥3个肌电采集通道（EMG）。</w:t>
      </w:r>
    </w:p>
    <w:p w14:paraId="0CA52895"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4. 使用物理旋钮调节电流强度，操作方便，每个通道均设置各自的独立旋钮控制，可实现多通道不同强度刺激。</w:t>
      </w:r>
    </w:p>
    <w:p w14:paraId="37128E8E"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5. ★肌电采集范围：2-2500μV（</w:t>
      </w:r>
      <w:proofErr w:type="spellStart"/>
      <w:r w:rsidRPr="00F91BC7">
        <w:rPr>
          <w:rFonts w:ascii="仿宋_GB2312" w:eastAsia="仿宋_GB2312" w:hAnsi="黑体" w:hint="eastAsia"/>
          <w:sz w:val="32"/>
          <w:szCs w:val="32"/>
        </w:rPr>
        <w:t>r.m.s</w:t>
      </w:r>
      <w:proofErr w:type="spellEnd"/>
      <w:r w:rsidRPr="00F91BC7">
        <w:rPr>
          <w:rFonts w:ascii="仿宋_GB2312" w:eastAsia="仿宋_GB2312" w:hAnsi="黑体" w:hint="eastAsia"/>
          <w:sz w:val="32"/>
          <w:szCs w:val="32"/>
        </w:rPr>
        <w:t>）</w:t>
      </w:r>
    </w:p>
    <w:p w14:paraId="5DF3C0C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6. ★分辨率：≤0.5μV（</w:t>
      </w:r>
      <w:proofErr w:type="spellStart"/>
      <w:r w:rsidRPr="00F91BC7">
        <w:rPr>
          <w:rFonts w:ascii="仿宋_GB2312" w:eastAsia="仿宋_GB2312" w:hAnsi="黑体" w:hint="eastAsia"/>
          <w:sz w:val="32"/>
          <w:szCs w:val="32"/>
        </w:rPr>
        <w:t>r.m.s</w:t>
      </w:r>
      <w:proofErr w:type="spellEnd"/>
      <w:r w:rsidRPr="00F91BC7">
        <w:rPr>
          <w:rFonts w:ascii="仿宋_GB2312" w:eastAsia="仿宋_GB2312" w:hAnsi="黑体" w:hint="eastAsia"/>
          <w:sz w:val="32"/>
          <w:szCs w:val="32"/>
        </w:rPr>
        <w:t>）</w:t>
      </w:r>
    </w:p>
    <w:p w14:paraId="6B37F21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7. 通频带：不窄于20Hz～500Hz (-3dB)</w:t>
      </w:r>
    </w:p>
    <w:p w14:paraId="5C4FBEC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8. 刺激电流强度：0-100mA范围内可调，步进0.5mA可调节。</w:t>
      </w:r>
    </w:p>
    <w:p w14:paraId="7A572239"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9. ★电刺激脉冲宽度：至少在50-900μs范围内均可调，步进</w:t>
      </w:r>
      <w:r w:rsidRPr="00F91BC7">
        <w:rPr>
          <w:rFonts w:ascii="仿宋_GB2312" w:eastAsia="仿宋_GB2312" w:hAnsi="黑体" w:hint="eastAsia"/>
          <w:sz w:val="32"/>
          <w:szCs w:val="32"/>
        </w:rPr>
        <w:lastRenderedPageBreak/>
        <w:t>10us可调节。</w:t>
      </w:r>
    </w:p>
    <w:p w14:paraId="7BC8D28C"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10. ★电刺激脉冲频率：至少在1-250Hz范围内均可调，步进1Hz可调节。</w:t>
      </w:r>
    </w:p>
    <w:p w14:paraId="62425026"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11. 上升/下降时间：至少在0s～18s范围内可调。</w:t>
      </w:r>
    </w:p>
    <w:p w14:paraId="2509B56C"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12. 一键式开机，直接进入软件操作界面，一键式关机。</w:t>
      </w:r>
    </w:p>
    <w:p w14:paraId="0A01DCD1"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软件参数:</w:t>
      </w:r>
    </w:p>
    <w:p w14:paraId="0480F394"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13. ★系统可根据盆底筛查或评估结果自动生成针对不同患者的疗程化盆底训练方案。</w:t>
      </w:r>
    </w:p>
    <w:p w14:paraId="620D35D7"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14. ★系统可将训练方案（包括电刺激、触发电刺激、生物反馈训练、多媒体游戏训练）通过无线方式传输至盆底生物刺激反馈类设备（由主机和手机APP软件等组成），医生可通过手机APP查看患者的训练数据，提高患者依从性，</w:t>
      </w:r>
      <w:proofErr w:type="gramStart"/>
      <w:r w:rsidRPr="00F91BC7">
        <w:rPr>
          <w:rFonts w:ascii="仿宋_GB2312" w:eastAsia="仿宋_GB2312" w:hAnsi="黑体" w:hint="eastAsia"/>
          <w:sz w:val="32"/>
          <w:szCs w:val="32"/>
        </w:rPr>
        <w:t>安卓和</w:t>
      </w:r>
      <w:proofErr w:type="gramEnd"/>
      <w:r w:rsidRPr="00F91BC7">
        <w:rPr>
          <w:rFonts w:ascii="仿宋_GB2312" w:eastAsia="仿宋_GB2312" w:hAnsi="黑体" w:hint="eastAsia"/>
          <w:sz w:val="32"/>
          <w:szCs w:val="32"/>
        </w:rPr>
        <w:t>IOS系统均支持该APP。</w:t>
      </w:r>
    </w:p>
    <w:p w14:paraId="2FD75CB9" w14:textId="0ACB866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15. 多种治疗模式，包括神经肌肉电刺激、肌电触发电刺激、Kegel模板训练、多媒体游戏训练。</w:t>
      </w:r>
    </w:p>
    <w:p w14:paraId="740CFEAB"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16. 内置多种盆底康复方案和产后康复方案，且所有内置方案参数可查看，也可以导入、导出。</w:t>
      </w:r>
    </w:p>
    <w:p w14:paraId="3192E1AE"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17. 疗程化方案治疗，自动按照当前治疗次数选择对应的治疗方案进行治疗，也可手动调整方案。</w:t>
      </w:r>
    </w:p>
    <w:p w14:paraId="6AE897E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18. 每次治疗过程中无需多次选择治疗模式，实现无中断治疗。</w:t>
      </w:r>
    </w:p>
    <w:p w14:paraId="7818E5B0"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19. 所有盆底方案的刺激电流强度可以在治疗前预设，并在下次治疗之前显示上次的电流强度。</w:t>
      </w:r>
    </w:p>
    <w:p w14:paraId="6E30908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20. 盆底治疗过程中可以对电刺激的强度、频率、脉宽、刺激时间、休息时间参数进行调节。</w:t>
      </w:r>
    </w:p>
    <w:p w14:paraId="5825E4DC"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lastRenderedPageBreak/>
        <w:t>21. 单个电刺激治疗可设置变频模式，实现刺激过程中至少两种频率以及脉宽之间转换。</w:t>
      </w:r>
    </w:p>
    <w:p w14:paraId="40C9A6F6"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22. 肌电触发电刺激模式包括阈值上刺激和阈值下刺激，系统可根据肌肉收缩情况自动调整阈值。</w:t>
      </w:r>
    </w:p>
    <w:p w14:paraId="1316F972"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23. Kegel训练可采用肌电值和MVC%（最大随意收缩力的百分比）两种模式。其中MVC%模式可根据患者的自身情况，调节模板训练的难度，有助于科学训练。</w:t>
      </w:r>
    </w:p>
    <w:p w14:paraId="736C483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24. Kegel方案可自定义编辑，包括编辑方案的模板图形、训练时间，以满足不同的治疗需求。</w:t>
      </w:r>
    </w:p>
    <w:p w14:paraId="1C1BD3A8"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25. 触发电刺激、Kegel训练可查看训练记录，且Kegel训练可查看训练期间的盆底</w:t>
      </w:r>
      <w:proofErr w:type="gramStart"/>
      <w:r w:rsidRPr="00F91BC7">
        <w:rPr>
          <w:rFonts w:ascii="仿宋_GB2312" w:eastAsia="仿宋_GB2312" w:hAnsi="黑体" w:hint="eastAsia"/>
          <w:sz w:val="32"/>
          <w:szCs w:val="32"/>
        </w:rPr>
        <w:t>肌</w:t>
      </w:r>
      <w:proofErr w:type="gramEnd"/>
      <w:r w:rsidRPr="00F91BC7">
        <w:rPr>
          <w:rFonts w:ascii="仿宋_GB2312" w:eastAsia="仿宋_GB2312" w:hAnsi="黑体" w:hint="eastAsia"/>
          <w:sz w:val="32"/>
          <w:szCs w:val="32"/>
        </w:rPr>
        <w:t>肌电图和腹肌肌电图。</w:t>
      </w:r>
    </w:p>
    <w:p w14:paraId="72938DCC"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26. 多台设备可实现筛查评估及治疗数据的自动实时同步。</w:t>
      </w:r>
    </w:p>
    <w:p w14:paraId="21B3CD0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27. 强大的数据管理功能，对工作量进行统计，还可对所有筛查、评估及治疗数据进行统计分析，可以回顾数据结果、波形。</w:t>
      </w:r>
    </w:p>
    <w:p w14:paraId="09CDAAEA" w14:textId="77777777" w:rsidR="00F91BC7" w:rsidRPr="00F91BC7"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28. 系统支持与盆底疾病分级诊疗信息软件的数据同步，实现</w:t>
      </w:r>
      <w:proofErr w:type="gramStart"/>
      <w:r w:rsidRPr="00F91BC7">
        <w:rPr>
          <w:rFonts w:ascii="仿宋_GB2312" w:eastAsia="仿宋_GB2312" w:hAnsi="黑体" w:hint="eastAsia"/>
          <w:sz w:val="32"/>
          <w:szCs w:val="32"/>
        </w:rPr>
        <w:t>医</w:t>
      </w:r>
      <w:proofErr w:type="gramEnd"/>
      <w:r w:rsidRPr="00F91BC7">
        <w:rPr>
          <w:rFonts w:ascii="仿宋_GB2312" w:eastAsia="仿宋_GB2312" w:hAnsi="黑体" w:hint="eastAsia"/>
          <w:sz w:val="32"/>
          <w:szCs w:val="32"/>
        </w:rPr>
        <w:t>联体组建、共享数据、科研协作、病患转诊、患者预约、本地病员管理等功能。</w:t>
      </w:r>
    </w:p>
    <w:p w14:paraId="15B8EEF0" w14:textId="322281EA" w:rsidR="000E3E14" w:rsidRDefault="00F91BC7" w:rsidP="00F91BC7">
      <w:pPr>
        <w:spacing w:line="520" w:lineRule="exact"/>
        <w:rPr>
          <w:rFonts w:ascii="仿宋_GB2312" w:eastAsia="仿宋_GB2312" w:hAnsi="黑体"/>
          <w:sz w:val="32"/>
          <w:szCs w:val="32"/>
        </w:rPr>
      </w:pPr>
      <w:r w:rsidRPr="00F91BC7">
        <w:rPr>
          <w:rFonts w:ascii="仿宋_GB2312" w:eastAsia="仿宋_GB2312" w:hAnsi="黑体" w:hint="eastAsia"/>
          <w:sz w:val="32"/>
          <w:szCs w:val="32"/>
        </w:rPr>
        <w:t>29. 系统支持患者通过手机APP实时进行医院的诊疗预约，医生可通过预约软件对患者预约信息进行管理。医生可对诊疗预约进行个性化设置，包括：最大预约次数、允许预约时间、预约设备管理和预约时间段管理等。</w:t>
      </w:r>
    </w:p>
    <w:p w14:paraId="60A7C102" w14:textId="77777777" w:rsidR="000E3E14" w:rsidRDefault="000E3E14" w:rsidP="000E3E14">
      <w:pPr>
        <w:spacing w:line="520" w:lineRule="exact"/>
        <w:rPr>
          <w:rFonts w:ascii="仿宋_GB2312" w:eastAsia="仿宋_GB2312" w:hAnsi="黑体"/>
          <w:sz w:val="32"/>
          <w:szCs w:val="32"/>
        </w:rPr>
      </w:pPr>
    </w:p>
    <w:p w14:paraId="1EA460A4" w14:textId="279A1810" w:rsidR="000E3E14" w:rsidRPr="000E3E14" w:rsidRDefault="00D873CF" w:rsidP="000E3E14">
      <w:pPr>
        <w:spacing w:line="520" w:lineRule="exact"/>
        <w:rPr>
          <w:rFonts w:ascii="仿宋_GB2312" w:eastAsia="仿宋_GB2312" w:hAnsi="宋体" w:cs="宋体"/>
          <w:kern w:val="0"/>
          <w:sz w:val="32"/>
          <w:szCs w:val="32"/>
        </w:rPr>
      </w:pPr>
      <w:r w:rsidRPr="001F73F9">
        <w:rPr>
          <w:rFonts w:ascii="仿宋_GB2312" w:eastAsia="仿宋_GB2312" w:hAnsi="黑体" w:hint="eastAsia"/>
          <w:sz w:val="32"/>
          <w:szCs w:val="32"/>
        </w:rPr>
        <w:t>（三）</w:t>
      </w:r>
      <w:r w:rsidR="000E3E14" w:rsidRPr="000E3E14">
        <w:rPr>
          <w:rFonts w:ascii="仿宋_GB2312" w:eastAsia="仿宋_GB2312" w:hAnsi="宋体" w:cs="宋体" w:hint="eastAsia"/>
          <w:kern w:val="0"/>
          <w:sz w:val="32"/>
          <w:szCs w:val="32"/>
        </w:rPr>
        <w:t>设备名称</w:t>
      </w:r>
      <w:r w:rsidR="000E3E14" w:rsidRPr="000E3E14">
        <w:rPr>
          <w:rFonts w:ascii="仿宋_GB2312" w:eastAsia="仿宋_GB2312" w:hint="eastAsia"/>
          <w:kern w:val="0"/>
          <w:sz w:val="32"/>
          <w:szCs w:val="32"/>
        </w:rPr>
        <w:t xml:space="preserve">: </w:t>
      </w:r>
      <w:r w:rsidR="00F91BC7" w:rsidRPr="00F91BC7">
        <w:rPr>
          <w:rFonts w:ascii="仿宋_GB2312" w:eastAsia="仿宋_GB2312" w:hint="eastAsia"/>
          <w:kern w:val="0"/>
          <w:sz w:val="32"/>
          <w:szCs w:val="32"/>
        </w:rPr>
        <w:t>婴儿水疗机</w:t>
      </w:r>
    </w:p>
    <w:p w14:paraId="231C312C" w14:textId="05284530"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F91BC7">
        <w:rPr>
          <w:rFonts w:ascii="仿宋_GB2312" w:eastAsia="仿宋_GB2312" w:hint="eastAsia"/>
          <w:sz w:val="32"/>
          <w:szCs w:val="32"/>
        </w:rPr>
        <w:t>两</w:t>
      </w:r>
      <w:r w:rsidRPr="000E3E14">
        <w:rPr>
          <w:rFonts w:ascii="仿宋_GB2312" w:eastAsia="仿宋_GB2312" w:hint="eastAsia"/>
          <w:sz w:val="32"/>
          <w:szCs w:val="32"/>
        </w:rPr>
        <w:t>台</w:t>
      </w:r>
    </w:p>
    <w:p w14:paraId="4058641B" w14:textId="77777777"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lastRenderedPageBreak/>
        <w:t>设备主要技术参数</w:t>
      </w:r>
      <w:r>
        <w:rPr>
          <w:rFonts w:ascii="仿宋_GB2312" w:eastAsia="仿宋_GB2312" w:hAnsi="黑体" w:hint="eastAsia"/>
          <w:sz w:val="32"/>
          <w:szCs w:val="32"/>
        </w:rPr>
        <w:t>：</w:t>
      </w:r>
    </w:p>
    <w:p w14:paraId="04C4E54E"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1、</w:t>
      </w:r>
      <w:proofErr w:type="gramStart"/>
      <w:r w:rsidRPr="00F75091">
        <w:rPr>
          <w:rFonts w:ascii="仿宋_GB2312" w:eastAsia="仿宋_GB2312" w:hAnsi="黑体" w:hint="eastAsia"/>
          <w:sz w:val="32"/>
          <w:szCs w:val="32"/>
        </w:rPr>
        <w:t>水疗机多种</w:t>
      </w:r>
      <w:proofErr w:type="gramEnd"/>
      <w:r w:rsidRPr="00F75091">
        <w:rPr>
          <w:rFonts w:ascii="仿宋_GB2312" w:eastAsia="仿宋_GB2312" w:hAnsi="黑体" w:hint="eastAsia"/>
          <w:sz w:val="32"/>
          <w:szCs w:val="32"/>
        </w:rPr>
        <w:t>规格尺寸可选。</w:t>
      </w:r>
    </w:p>
    <w:p w14:paraId="109D9EC8"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2、外形新颖，采用进口洁具专用亚克力材料，一次成型，内部无缝、壳体坚韧。</w:t>
      </w:r>
    </w:p>
    <w:p w14:paraId="09E1100A"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3、安装简易，可多个排列使用，整齐美观。</w:t>
      </w:r>
    </w:p>
    <w:p w14:paraId="1A30F7A6"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4、配置有彩灯、气泡、冲浪等功能，可任意搭配选择使用。</w:t>
      </w:r>
    </w:p>
    <w:p w14:paraId="63994EA1"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5、单面透明玻璃可更直观的观察宝宝游泳的过程。</w:t>
      </w:r>
    </w:p>
    <w:p w14:paraId="0B6A6097"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6、臭氧消毒：配置臭氧消毒装置，每次游泳后可利用臭氧消毒</w:t>
      </w:r>
      <w:proofErr w:type="gramStart"/>
      <w:r w:rsidRPr="00F75091">
        <w:rPr>
          <w:rFonts w:ascii="仿宋_GB2312" w:eastAsia="仿宋_GB2312" w:hAnsi="黑体" w:hint="eastAsia"/>
          <w:sz w:val="32"/>
          <w:szCs w:val="32"/>
        </w:rPr>
        <w:t>水疗机</w:t>
      </w:r>
      <w:proofErr w:type="gramEnd"/>
      <w:r w:rsidRPr="00F75091">
        <w:rPr>
          <w:rFonts w:ascii="仿宋_GB2312" w:eastAsia="仿宋_GB2312" w:hAnsi="黑体" w:hint="eastAsia"/>
          <w:sz w:val="32"/>
          <w:szCs w:val="32"/>
        </w:rPr>
        <w:t>内部，保证婴儿洗浴的用水安全，避免婴儿在洗澡游泳过程中发生交叉感染；消毒时不需要辅助材料，无二次污染。</w:t>
      </w:r>
    </w:p>
    <w:p w14:paraId="0B083C21"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7、电动排水：配置电子自动下水器，按键开关，自动开合，一键排水。</w:t>
      </w:r>
    </w:p>
    <w:p w14:paraId="55F7651A"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8、设备采用24V低压直流电源，为设备提供安全稳定的电压，保护婴儿触电危险。</w:t>
      </w:r>
    </w:p>
    <w:p w14:paraId="0EEE693F"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 xml:space="preserve">9、外形尺寸：1120*875*910 </w:t>
      </w:r>
    </w:p>
    <w:p w14:paraId="6B483E58"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 xml:space="preserve">内部尺寸：890*730*690 </w:t>
      </w:r>
    </w:p>
    <w:p w14:paraId="4D8CB978"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 xml:space="preserve">额定电压：AC220V </w:t>
      </w:r>
    </w:p>
    <w:p w14:paraId="2AB4020B"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 xml:space="preserve">额定频率：50Hz </w:t>
      </w:r>
    </w:p>
    <w:p w14:paraId="3FFC77BB" w14:textId="27A5E99E" w:rsidR="00F75091" w:rsidRDefault="00F75091" w:rsidP="00F75091">
      <w:pPr>
        <w:spacing w:line="520" w:lineRule="exact"/>
        <w:rPr>
          <w:rFonts w:ascii="仿宋_GB2312" w:eastAsia="仿宋_GB2312" w:hAnsi="黑体"/>
          <w:sz w:val="32"/>
          <w:szCs w:val="32"/>
        </w:rPr>
      </w:pPr>
    </w:p>
    <w:p w14:paraId="7254979B"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婴儿</w:t>
      </w:r>
      <w:proofErr w:type="gramStart"/>
      <w:r w:rsidRPr="00F75091">
        <w:rPr>
          <w:rFonts w:ascii="仿宋_GB2312" w:eastAsia="仿宋_GB2312" w:hAnsi="黑体" w:hint="eastAsia"/>
          <w:sz w:val="32"/>
          <w:szCs w:val="32"/>
        </w:rPr>
        <w:t>水疗机</w:t>
      </w:r>
      <w:proofErr w:type="gramEnd"/>
      <w:r w:rsidRPr="00F75091">
        <w:rPr>
          <w:rFonts w:ascii="仿宋_GB2312" w:eastAsia="仿宋_GB2312" w:hAnsi="黑体" w:hint="eastAsia"/>
          <w:sz w:val="32"/>
          <w:szCs w:val="32"/>
        </w:rPr>
        <w:t>配置清单</w:t>
      </w:r>
    </w:p>
    <w:p w14:paraId="34EE40D3" w14:textId="43799FC5"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1</w:t>
      </w:r>
      <w:r w:rsidRPr="00F75091">
        <w:rPr>
          <w:rFonts w:ascii="仿宋_GB2312" w:eastAsia="仿宋_GB2312" w:hAnsi="黑体" w:hint="eastAsia"/>
          <w:sz w:val="32"/>
          <w:szCs w:val="32"/>
        </w:rPr>
        <w:tab/>
        <w:t>婴儿</w:t>
      </w:r>
      <w:proofErr w:type="gramStart"/>
      <w:r w:rsidRPr="00F75091">
        <w:rPr>
          <w:rFonts w:ascii="仿宋_GB2312" w:eastAsia="仿宋_GB2312" w:hAnsi="黑体" w:hint="eastAsia"/>
          <w:sz w:val="32"/>
          <w:szCs w:val="32"/>
        </w:rPr>
        <w:t>水疗机</w:t>
      </w:r>
      <w:proofErr w:type="gramEnd"/>
      <w:r w:rsidRPr="00F75091">
        <w:rPr>
          <w:rFonts w:ascii="仿宋_GB2312" w:eastAsia="仿宋_GB2312" w:hAnsi="黑体" w:hint="eastAsia"/>
          <w:sz w:val="32"/>
          <w:szCs w:val="32"/>
        </w:rPr>
        <w:t>主体</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台</w:t>
      </w:r>
    </w:p>
    <w:p w14:paraId="3339BD37"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2</w:t>
      </w:r>
      <w:r w:rsidRPr="00F75091">
        <w:rPr>
          <w:rFonts w:ascii="仿宋_GB2312" w:eastAsia="仿宋_GB2312" w:hAnsi="黑体" w:hint="eastAsia"/>
          <w:sz w:val="32"/>
          <w:szCs w:val="32"/>
        </w:rPr>
        <w:tab/>
        <w:t>下水管</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根</w:t>
      </w:r>
      <w:r w:rsidRPr="00F75091">
        <w:rPr>
          <w:rFonts w:ascii="仿宋_GB2312" w:eastAsia="仿宋_GB2312" w:hAnsi="黑体" w:hint="eastAsia"/>
          <w:sz w:val="32"/>
          <w:szCs w:val="32"/>
        </w:rPr>
        <w:tab/>
      </w:r>
    </w:p>
    <w:p w14:paraId="491CA34C"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3</w:t>
      </w:r>
      <w:r w:rsidRPr="00F75091">
        <w:rPr>
          <w:rFonts w:ascii="仿宋_GB2312" w:eastAsia="仿宋_GB2312" w:hAnsi="黑体" w:hint="eastAsia"/>
          <w:sz w:val="32"/>
          <w:szCs w:val="32"/>
        </w:rPr>
        <w:tab/>
        <w:t>上水管</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根</w:t>
      </w:r>
      <w:r w:rsidRPr="00F75091">
        <w:rPr>
          <w:rFonts w:ascii="仿宋_GB2312" w:eastAsia="仿宋_GB2312" w:hAnsi="黑体" w:hint="eastAsia"/>
          <w:sz w:val="32"/>
          <w:szCs w:val="32"/>
        </w:rPr>
        <w:tab/>
      </w:r>
    </w:p>
    <w:p w14:paraId="6AB17CEA"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4</w:t>
      </w:r>
      <w:r w:rsidRPr="00F75091">
        <w:rPr>
          <w:rFonts w:ascii="仿宋_GB2312" w:eastAsia="仿宋_GB2312" w:hAnsi="黑体" w:hint="eastAsia"/>
          <w:sz w:val="32"/>
          <w:szCs w:val="32"/>
        </w:rPr>
        <w:tab/>
        <w:t>电源线</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根</w:t>
      </w:r>
      <w:r w:rsidRPr="00F75091">
        <w:rPr>
          <w:rFonts w:ascii="仿宋_GB2312" w:eastAsia="仿宋_GB2312" w:hAnsi="黑体" w:hint="eastAsia"/>
          <w:sz w:val="32"/>
          <w:szCs w:val="32"/>
        </w:rPr>
        <w:tab/>
      </w:r>
    </w:p>
    <w:p w14:paraId="361202D6" w14:textId="77777777"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lastRenderedPageBreak/>
        <w:t>5</w:t>
      </w:r>
      <w:r w:rsidRPr="00F75091">
        <w:rPr>
          <w:rFonts w:ascii="仿宋_GB2312" w:eastAsia="仿宋_GB2312" w:hAnsi="黑体" w:hint="eastAsia"/>
          <w:sz w:val="32"/>
          <w:szCs w:val="32"/>
        </w:rPr>
        <w:tab/>
        <w:t>说明书</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本</w:t>
      </w:r>
      <w:r w:rsidRPr="00F75091">
        <w:rPr>
          <w:rFonts w:ascii="仿宋_GB2312" w:eastAsia="仿宋_GB2312" w:hAnsi="黑体" w:hint="eastAsia"/>
          <w:sz w:val="32"/>
          <w:szCs w:val="32"/>
        </w:rPr>
        <w:tab/>
      </w:r>
    </w:p>
    <w:p w14:paraId="23000B59" w14:textId="6C039FCF" w:rsidR="00F75091" w:rsidRPr="00F75091" w:rsidRDefault="00F75091" w:rsidP="00F75091">
      <w:pPr>
        <w:spacing w:line="520" w:lineRule="exact"/>
        <w:rPr>
          <w:rFonts w:ascii="仿宋_GB2312" w:eastAsia="仿宋_GB2312" w:hAnsi="黑体"/>
          <w:sz w:val="32"/>
          <w:szCs w:val="32"/>
        </w:rPr>
      </w:pPr>
      <w:r w:rsidRPr="00F75091">
        <w:rPr>
          <w:rFonts w:ascii="仿宋_GB2312" w:eastAsia="仿宋_GB2312" w:hAnsi="黑体" w:hint="eastAsia"/>
          <w:sz w:val="32"/>
          <w:szCs w:val="32"/>
        </w:rPr>
        <w:t>6</w:t>
      </w:r>
      <w:r w:rsidRPr="00F75091">
        <w:rPr>
          <w:rFonts w:ascii="仿宋_GB2312" w:eastAsia="仿宋_GB2312" w:hAnsi="黑体" w:hint="eastAsia"/>
          <w:sz w:val="32"/>
          <w:szCs w:val="32"/>
        </w:rPr>
        <w:tab/>
        <w:t>合格证</w:t>
      </w:r>
      <w:r w:rsidRPr="00F75091">
        <w:rPr>
          <w:rFonts w:ascii="仿宋_GB2312" w:eastAsia="仿宋_GB2312" w:hAnsi="黑体" w:hint="eastAsia"/>
          <w:sz w:val="32"/>
          <w:szCs w:val="32"/>
        </w:rPr>
        <w:tab/>
        <w:t>1</w:t>
      </w:r>
      <w:r w:rsidRPr="00F75091">
        <w:rPr>
          <w:rFonts w:ascii="仿宋_GB2312" w:eastAsia="仿宋_GB2312" w:hAnsi="黑体" w:hint="eastAsia"/>
          <w:sz w:val="32"/>
          <w:szCs w:val="32"/>
        </w:rPr>
        <w:tab/>
        <w:t>张</w:t>
      </w:r>
      <w:r w:rsidRPr="00F75091">
        <w:rPr>
          <w:rFonts w:ascii="仿宋_GB2312" w:eastAsia="仿宋_GB2312" w:hAnsi="黑体" w:hint="eastAsia"/>
          <w:sz w:val="32"/>
          <w:szCs w:val="32"/>
        </w:rPr>
        <w:tab/>
      </w:r>
    </w:p>
    <w:p w14:paraId="767C5537" w14:textId="77777777" w:rsidR="00F75091" w:rsidRPr="00F75091" w:rsidRDefault="00F75091" w:rsidP="00F75091">
      <w:pPr>
        <w:spacing w:line="520" w:lineRule="exact"/>
        <w:rPr>
          <w:rFonts w:ascii="仿宋_GB2312" w:eastAsia="仿宋_GB2312" w:hAnsi="黑体"/>
          <w:sz w:val="32"/>
          <w:szCs w:val="32"/>
        </w:rPr>
      </w:pPr>
    </w:p>
    <w:p w14:paraId="1A053A40" w14:textId="77777777" w:rsidR="000E3E14" w:rsidRDefault="000E3E14" w:rsidP="000E3E14">
      <w:pPr>
        <w:spacing w:line="520" w:lineRule="exact"/>
        <w:rPr>
          <w:rFonts w:ascii="仿宋_GB2312" w:eastAsia="仿宋_GB2312" w:hAnsi="黑体"/>
          <w:sz w:val="32"/>
          <w:szCs w:val="32"/>
        </w:rPr>
      </w:pPr>
    </w:p>
    <w:sectPr w:rsidR="000E3E14"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F84D" w14:textId="77777777" w:rsidR="00675973" w:rsidRDefault="00675973" w:rsidP="0043215F">
      <w:r>
        <w:separator/>
      </w:r>
    </w:p>
  </w:endnote>
  <w:endnote w:type="continuationSeparator" w:id="0">
    <w:p w14:paraId="5B27A744" w14:textId="77777777" w:rsidR="00675973" w:rsidRDefault="00675973"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F6D" w14:textId="77777777" w:rsidR="00D873CF" w:rsidRDefault="00DE4761" w:rsidP="00605900">
    <w:pPr>
      <w:pStyle w:val="a5"/>
      <w:jc w:val="center"/>
    </w:pPr>
    <w:r>
      <w:fldChar w:fldCharType="begin"/>
    </w:r>
    <w:r>
      <w:instrText xml:space="preserve"> PAGE   \* MERGEFORMAT </w:instrText>
    </w:r>
    <w:r>
      <w:fldChar w:fldCharType="separate"/>
    </w:r>
    <w:r w:rsidR="007C036B" w:rsidRPr="007C036B">
      <w:rPr>
        <w:noProof/>
        <w:lang w:val="zh-CN"/>
      </w:rPr>
      <w:t>4</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3F53" w14:textId="77777777" w:rsidR="00675973" w:rsidRDefault="00675973" w:rsidP="0043215F">
      <w:r>
        <w:separator/>
      </w:r>
    </w:p>
  </w:footnote>
  <w:footnote w:type="continuationSeparator" w:id="0">
    <w:p w14:paraId="533580A9" w14:textId="77777777" w:rsidR="00675973" w:rsidRDefault="00675973"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16cid:durableId="384765937">
    <w:abstractNumId w:val="0"/>
  </w:num>
  <w:num w:numId="2" w16cid:durableId="1866944106">
    <w:abstractNumId w:val="4"/>
  </w:num>
  <w:num w:numId="3" w16cid:durableId="251402156">
    <w:abstractNumId w:val="7"/>
  </w:num>
  <w:num w:numId="4" w16cid:durableId="101341546">
    <w:abstractNumId w:val="6"/>
  </w:num>
  <w:num w:numId="5" w16cid:durableId="1201406214">
    <w:abstractNumId w:val="2"/>
  </w:num>
  <w:num w:numId="6" w16cid:durableId="94718382">
    <w:abstractNumId w:val="5"/>
  </w:num>
  <w:num w:numId="7" w16cid:durableId="230624667">
    <w:abstractNumId w:val="8"/>
  </w:num>
  <w:num w:numId="8" w16cid:durableId="819031711">
    <w:abstractNumId w:val="1"/>
  </w:num>
  <w:num w:numId="9" w16cid:durableId="50077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16BB4"/>
    <w:rsid w:val="0027046F"/>
    <w:rsid w:val="0027693C"/>
    <w:rsid w:val="003713B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605900"/>
    <w:rsid w:val="00606A81"/>
    <w:rsid w:val="00614A5E"/>
    <w:rsid w:val="00632E81"/>
    <w:rsid w:val="00644325"/>
    <w:rsid w:val="00674B0E"/>
    <w:rsid w:val="00675973"/>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46FCD"/>
    <w:rsid w:val="00B6113F"/>
    <w:rsid w:val="00B6668D"/>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37CA0"/>
    <w:rsid w:val="00C46FAA"/>
    <w:rsid w:val="00C653F3"/>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7D08"/>
    <w:rsid w:val="00E23592"/>
    <w:rsid w:val="00E2502F"/>
    <w:rsid w:val="00E27F9C"/>
    <w:rsid w:val="00E30BC3"/>
    <w:rsid w:val="00E3401D"/>
    <w:rsid w:val="00E42EAA"/>
    <w:rsid w:val="00E43ED7"/>
    <w:rsid w:val="00E57E81"/>
    <w:rsid w:val="00EA7658"/>
    <w:rsid w:val="00EC0205"/>
    <w:rsid w:val="00EC0371"/>
    <w:rsid w:val="00EC578A"/>
    <w:rsid w:val="00EE3107"/>
    <w:rsid w:val="00F00DDE"/>
    <w:rsid w:val="00F2194C"/>
    <w:rsid w:val="00F236DA"/>
    <w:rsid w:val="00F316E8"/>
    <w:rsid w:val="00F4230B"/>
    <w:rsid w:val="00F65BA2"/>
    <w:rsid w:val="00F67105"/>
    <w:rsid w:val="00F75091"/>
    <w:rsid w:val="00F87C5E"/>
    <w:rsid w:val="00F91BC7"/>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94135"/>
  <w15:docId w15:val="{740CB15B-4439-479F-8E6F-5B64441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qFormat/>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8158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4</cp:revision>
  <cp:lastPrinted>2020-10-16T03:23:00Z</cp:lastPrinted>
  <dcterms:created xsi:type="dcterms:W3CDTF">2022-04-27T08:16:00Z</dcterms:created>
  <dcterms:modified xsi:type="dcterms:W3CDTF">2022-04-27T08:35:00Z</dcterms:modified>
</cp:coreProperties>
</file>