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表4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典籍学习心得</w:t>
      </w:r>
    </w:p>
    <w:p>
      <w:pPr>
        <w:rPr>
          <w:rFonts w:ascii="仿宋_GB2312" w:eastAsia="仿宋_GB2312"/>
          <w:sz w:val="24"/>
        </w:rPr>
      </w:pPr>
    </w:p>
    <w:p>
      <w:pPr>
        <w:ind w:firstLine="1440" w:firstLineChars="6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起止时间：</w:t>
      </w:r>
      <w:r>
        <w:rPr>
          <w:rFonts w:ascii="仿宋" w:hAnsi="仿宋" w:eastAsia="仿宋"/>
          <w:sz w:val="24"/>
        </w:rPr>
        <w:t xml:space="preserve"> </w:t>
      </w:r>
    </w:p>
    <w:tbl>
      <w:tblPr>
        <w:tblStyle w:val="4"/>
        <w:tblW w:w="892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131"/>
        <w:gridCol w:w="213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继承人姓名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孟立锋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指导老师姓名</w:t>
            </w:r>
          </w:p>
        </w:tc>
        <w:tc>
          <w:tcPr>
            <w:tcW w:w="232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史伟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著作名称、读书篇数：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《景岳全书》、《黄帝内经·素问》、《伤寒论》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925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心得体会</w:t>
            </w:r>
            <w:r>
              <w:rPr>
                <w:rFonts w:hint="eastAsia" w:ascii="仿宋" w:hAnsi="仿宋" w:eastAsia="仿宋"/>
                <w:sz w:val="24"/>
              </w:rPr>
              <w:t>（要求理论联系实际、有分析）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2891" w:firstLineChars="1200"/>
              <w:jc w:val="left"/>
              <w:rPr>
                <w:rFonts w:ascii="宋体" w:hAnsi="宋体" w:cs="B4+cajcd fntbz"/>
                <w:b/>
                <w:kern w:val="0"/>
                <w:sz w:val="24"/>
              </w:rPr>
            </w:pPr>
            <w:r>
              <w:rPr>
                <w:rFonts w:hint="eastAsia" w:ascii="宋体" w:hAnsi="宋体" w:cs="B4+cajcd fntbz"/>
                <w:b/>
                <w:kern w:val="0"/>
                <w:sz w:val="24"/>
              </w:rPr>
              <w:t>寒热并用辨治糖尿病肾病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糖尿病肾病及为中医中的消渴肾病，通过学习中医经典，我了解到了消渴肾病的治则远不止中医内科教材上列出的寥寥几笔，且亦不像大多数人常用方药里寒凉见多，因此从经典古籍中，我领会了寒热并用辨治糖尿病肾病的法则。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《景岳全书·三消干渴》云:“消证有阴阳, 尤不可不察……凡此者, 多由于火, 火盛则阴消, 是皆阳消之证也。至于阴消之义, 则未有知之者。盖消者, 消烁者, 亦消耗也, 凡阴阳血气之属日见消败者, 皆谓之消, 故不可尽以火证言。”由此可知, 消渴证有阴消和阳消之分, 阳消者阴虚火旺, 阴消者即阳虚所致之消渴, 不可将消渴一概以阴虚证论治。糖尿病早期以脾阳虚为主, 中期主要以阴虚燥热为标、阳虚为本, 后期以肾阳虚为主。然而现代人生活水平提高, 过食肥甘厚味、熬夜纵酒、生活紧张烦劳, 消渴“三多一少”的症状并不常见, 而阳气不能潜藏于内, 日渐虚衰, 临床表现以阳虚为本。再者, 消渴常以养阴清热为基础治法，终致阴阳两虚。因此不可禁锢于消渴阴虚为本的思想, 还要客观能动地兼顾其变生的阳虚证候, 及时地温补肾阳。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《素问·玉版要论》有云:“阴阳反他, 治在权衡相夺, 奇恒事也, 揆度事也。”《景岳全书·传忠录》说:“寒热者, 阴阳之化也”。疾病的辨证论治皆有偏性, 或实或虚, 或寒或热, 而阴阳是决定疾病性质的根本, 寒热是辨别疾病性质的纲领。 “消渴肾病”的辨治不可单纯地清热养阴或是温补肾阳, “寒热并用”的治则应当是消渴肾病稳固治则。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33333"/>
                <w:spacing w:val="9"/>
                <w:shd w:val="clear" w:color="auto" w:fill="FFFFFF"/>
              </w:rPr>
              <w:t>以</w:t>
            </w:r>
            <w:r>
              <w:rPr>
                <w:rFonts w:ascii="Arial" w:hAnsi="Arial" w:cs="Arial"/>
                <w:color w:val="333333"/>
                <w:spacing w:val="9"/>
                <w:shd w:val="clear" w:color="auto" w:fill="FFFFFF"/>
              </w:rPr>
              <w:t>《伤寒论》</w:t>
            </w:r>
            <w:r>
              <w:rPr>
                <w:rFonts w:hint="eastAsia" w:ascii="Arial" w:hAnsi="Arial" w:cs="Arial"/>
                <w:color w:val="333333"/>
                <w:spacing w:val="9"/>
                <w:shd w:val="clear" w:color="auto" w:fill="FFFFFF"/>
              </w:rPr>
              <w:t>立法</w:t>
            </w:r>
            <w:r>
              <w:rPr>
                <w:rFonts w:ascii="Arial" w:hAnsi="Arial" w:cs="Arial"/>
                <w:color w:val="333333"/>
                <w:spacing w:val="9"/>
                <w:shd w:val="clear" w:color="auto" w:fill="FFFFFF"/>
              </w:rPr>
              <w:t>, 消渴肾病的论治应当“首辨阴阳, 再辨六经”, 消渴肾病的病机是“太少并病”;早期病机以“太阴虚损, 清气下陷”为主, 指出“阳气不足”是本源, “燥热”为衍生标象;晚期病机为“少阴寒厥、阴水泛溢”, 乃三阴受寒, 少阴为主, 提出太阴重在“温运”、少阴首在“温扶”、厥阴贵在“温达”的治疗法则。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消渴肾病的治法并非只需要注意到寒热并用，只是这一点常常最容易被忽视，消渴肾病的治则主要还有扶正祛邪, 扶正以益气养阴、调补阴阳、温肾健脾, 祛邪以活血化瘀、化湿降浊、利水消肿等，我们还应该继续学习更多的中医书籍，弥补那些未被我们发现的重点，从而在临床治病方面，开出更趋向全面、精细、准确的治疗方药。</w:t>
            </w:r>
          </w:p>
          <w:p>
            <w:pPr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签名：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孟立锋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05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925" w:type="dxa"/>
            <w:gridSpan w:val="4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指导老师批阅意见</w:t>
            </w:r>
            <w:r>
              <w:rPr>
                <w:rFonts w:hint="eastAsia" w:ascii="仿宋" w:hAnsi="仿宋" w:eastAsia="仿宋"/>
                <w:szCs w:val="21"/>
              </w:rPr>
              <w:t>（要有针对性和指导性，能体现指导老师的学术和水平）：</w:t>
            </w: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4760" w:firstLineChars="170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签名：</w:t>
            </w:r>
          </w:p>
          <w:p>
            <w:pPr>
              <w:adjustRightInd w:val="0"/>
              <w:snapToGrid w:val="0"/>
              <w:ind w:firstLine="3570" w:firstLineChars="170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570" w:firstLineChars="170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5460" w:firstLineChars="195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3215"/>
        </w:tabs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4+cajcd fnt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066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WQzYzIxMmYzYmUyZTI5ZDExNGIzMTUwNTk4YzAifQ=="/>
  </w:docVars>
  <w:rsids>
    <w:rsidRoot w:val="00DB4CC9"/>
    <w:rsid w:val="000A19CC"/>
    <w:rsid w:val="000B4C7A"/>
    <w:rsid w:val="000F06CA"/>
    <w:rsid w:val="0013512C"/>
    <w:rsid w:val="001656FE"/>
    <w:rsid w:val="001A16DD"/>
    <w:rsid w:val="001F05DC"/>
    <w:rsid w:val="00212F28"/>
    <w:rsid w:val="00214AA7"/>
    <w:rsid w:val="00226FD6"/>
    <w:rsid w:val="002460ED"/>
    <w:rsid w:val="0029701F"/>
    <w:rsid w:val="002F05B7"/>
    <w:rsid w:val="002F511F"/>
    <w:rsid w:val="00374EFE"/>
    <w:rsid w:val="00382160"/>
    <w:rsid w:val="0038499E"/>
    <w:rsid w:val="003E1B83"/>
    <w:rsid w:val="004B7F01"/>
    <w:rsid w:val="004F4B9F"/>
    <w:rsid w:val="005425D3"/>
    <w:rsid w:val="005B4D05"/>
    <w:rsid w:val="006178EE"/>
    <w:rsid w:val="006735B7"/>
    <w:rsid w:val="007077E8"/>
    <w:rsid w:val="00867576"/>
    <w:rsid w:val="00A05462"/>
    <w:rsid w:val="00A134C5"/>
    <w:rsid w:val="00A3012F"/>
    <w:rsid w:val="00AE6284"/>
    <w:rsid w:val="00B51039"/>
    <w:rsid w:val="00B63776"/>
    <w:rsid w:val="00B9502D"/>
    <w:rsid w:val="00BA50DD"/>
    <w:rsid w:val="00D940DB"/>
    <w:rsid w:val="00DB4CC9"/>
    <w:rsid w:val="00E052D7"/>
    <w:rsid w:val="00E406FB"/>
    <w:rsid w:val="00E73DB9"/>
    <w:rsid w:val="00ED3962"/>
    <w:rsid w:val="00F639E6"/>
    <w:rsid w:val="00F87135"/>
    <w:rsid w:val="08AE0532"/>
    <w:rsid w:val="472801E3"/>
    <w:rsid w:val="5E693359"/>
    <w:rsid w:val="607D01CE"/>
    <w:rsid w:val="73A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semiHidden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1039</Words>
  <Characters>1042</Characters>
  <Lines>8</Lines>
  <Paragraphs>2</Paragraphs>
  <TotalTime>291</TotalTime>
  <ScaleCrop>false</ScaleCrop>
  <LinksUpToDate>false</LinksUpToDate>
  <CharactersWithSpaces>1170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2019-01-15T07:11:00Z</dcterms:created>
  <dc:creator>苏启福</dc:creator>
  <cp:lastModifiedBy>Administrator</cp:lastModifiedBy>
  <dcterms:modified xsi:type="dcterms:W3CDTF">2022-07-18T07:56:19Z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DFA1BA71B01E481BBCECFC4EEE48DD09</vt:lpwstr>
  </property>
</Properties>
</file>