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表4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典籍学习心得</w:t>
      </w:r>
    </w:p>
    <w:p>
      <w:pPr>
        <w:rPr>
          <w:rFonts w:ascii="仿宋_GB2312" w:eastAsia="仿宋_GB2312"/>
          <w:sz w:val="24"/>
        </w:rPr>
      </w:pPr>
    </w:p>
    <w:p>
      <w:pPr>
        <w:ind w:firstLine="1440" w:firstLine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起止时间：</w:t>
      </w:r>
      <w:r>
        <w:rPr>
          <w:rFonts w:ascii="仿宋" w:hAnsi="仿宋" w:eastAsia="仿宋"/>
          <w:sz w:val="24"/>
        </w:rPr>
        <w:t xml:space="preserve"> </w:t>
      </w:r>
    </w:p>
    <w:tbl>
      <w:tblPr>
        <w:tblStyle w:val="4"/>
        <w:tblW w:w="892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131"/>
        <w:gridCol w:w="213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继承人姓名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孟立锋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指导老师姓名</w:t>
            </w:r>
          </w:p>
        </w:tc>
        <w:tc>
          <w:tcPr>
            <w:tcW w:w="2327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著作名称、读书篇数：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《伤寒论》、《金匮要略》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925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心得体会</w:t>
            </w:r>
            <w:r>
              <w:rPr>
                <w:rFonts w:hint="eastAsia" w:ascii="仿宋" w:hAnsi="仿宋" w:eastAsia="仿宋"/>
                <w:sz w:val="24"/>
              </w:rPr>
              <w:t>（要求理论联系实际、有分析）</w:t>
            </w:r>
          </w:p>
          <w:p>
            <w:pPr>
              <w:ind w:firstLine="1928" w:firstLineChars="8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cs="B4+cajcd fntbz"/>
                <w:b/>
                <w:kern w:val="0"/>
                <w:sz w:val="24"/>
              </w:rPr>
              <w:t>运用“四逆辈”治疗儿童原发性肾病综合征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儿童肾病是因小儿先天肺脾肾三脏阳气虚，三焦通道失常，水精疏布异常，泛溢肌肤所致，阳虚寒气内生，气血凝滞，加之久病必瘀。病位在肺、脾、肾、三焦，病性属于本虚标实。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学习中医经典古籍，我熟悉了“四逆辈”这一类药方，及包括四逆汤、理中汤、通脉四逆汤等，在《伤寒论》、《金匮要略》中颇为常用。从临床中接触到治疗儿童原发性肾病综合征的方药中，也有诸多以“四逆辈”方为基础方，由此我从中医古籍中搜寻，探索“四逆辈”药方在儿童原发性肾病综合征治疗上的应用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四逆辈”首见于《伤寒论》第277条：“自利不渴者，属太阴，以脏有寒故也，当温之，宜服四逆辈”。“四逆辈”是指在太阴证阶段或少阴证阶段出现“四逆汤”证时，可选用四逆汤及其化裁的方剂进行治疗，包括四逆汤（《伤寒论》第91、323、372、389条，《金匮要略·呕吐秽下利病脉证治》：“下利，腹胀……温里宜四逆汤，攻表宜桂枝汤。”）、通脉四逆汤（《伤寒论》第317、370条）、附子粳米汤（《金匮要略·腹满寒疝宿食病脉证治》：“腹中寒气...附子粳米汤主之。”）、四逆加人参汤（《伤寒论》第385条）等，临床上符合汤证表现均可运用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肾病常常由于感染、激素使用不当、过敏等因素导致复发，如不及早干预，可逐渐加重，影响患儿预后。复发初始表现为尿夹泡沫，可兼有外感症状；继而出现浮肿并逐渐加重，出现“食不下”“腹满”；甚者出现“腹满而吐”“时腹自痛”“下利”“自利而渴”，更有甚者表现为“但欲寐”“下利清谷不止”“腹痛”“自利不渴”“脉微细或脉微欲绝”。“食不下”是肾病开始加重的标志，根据《伤寒论》第273条条文，属于太阴证，临床应当把握治疗的时机，及时运用“四逆辈”治疗以防止病情进一步加重而传至少阴。此种情况，用脏腑辨证归于脾、肾两脏阳虚阴寒内盛，六经辨证归于太阴、少阴二经虚寒，二者可互相解释。儿童肾病复发时，病在太阴还是在少阴的区别主要在于精神状态，病在太阴，精神状态尚可；病在少阴，出现“但欲寐”，另外少阴证可出现四肢逆冷、脉微细或脉微欲绝等。所以在临床上，应及时辨证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肾病出现太阴证时，可分为两个阶段治疗：第一阶段，出现腹满、食不下，而未见呕吐、腹痛、下利。此时，肾阳暂未虚，仅脾阳虚，中焦脾胃运化失司，水液停留于胃，表现为食欲下降、腹胀。此时，可用实脾散化裁治疗。实脾散可以认为是四逆汤合五苓散加木香、厚朴、木瓜等变化而来，四逆汤温脾肾之阳，五苓散利水，加行气药以助温阳利水之功；兼有外感时，可使用四逆汤合参苏饮，参苏饮在此为舒达肺卫之气，以助脾肾阳气推动水液运行。第二阶段，在原有腹满、不欲饮食基础上，出现呕吐、时腹自痛、下利，此时脾肾阳气虚，寒气内甚，宜急温之，可选用的方剂为四逆汤、附子粳米汤。附子粳米汤适用于呕吐剧烈、腹痛，伴或不伴腹泻。当出现时腹自痛、下利，无呕吐，精神尚可，可用四逆汤急温脾肾之阳气。病情继续发展，由太阴下传至少阴，则症见精神不佳，但欲寐，四肢逆冷，腹痛持续不能缓解，下利清谷不止，脉微细、脉微欲绝等。当肾病出现少阴证时，可分两个阶段治疗：第一阶段，表现为精神不佳，四肢逆冷，腹痛持续不能缓解，下利清谷，脉微细。此时，尚可用四逆汤急温之。第二阶段，出现精神萎靡，但欲寐，下利清谷，小便不利，四肢厥逆，脉微欲绝。此时，当用通脉四逆汤或四逆加人参汤以回阳救逆。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熟读《伤寒论》、《金匮要略》等经典后，灵活运用“四逆辈”，不止是儿童原发性肾病综合征，在其他疾病领域亦可对症治疗。</w:t>
            </w:r>
          </w:p>
          <w:p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签名：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孟立锋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925" w:type="dxa"/>
            <w:gridSpan w:val="4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指导老师批阅意见</w:t>
            </w:r>
            <w:r>
              <w:rPr>
                <w:rFonts w:hint="eastAsia" w:ascii="仿宋" w:hAnsi="仿宋" w:eastAsia="仿宋"/>
                <w:szCs w:val="21"/>
              </w:rPr>
              <w:t>（要有针对性和指导性，能体现指导老师的学术和水平）：</w:t>
            </w: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465" w:firstLineChars="165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>
            <w:pPr>
              <w:adjustRightInd w:val="0"/>
              <w:snapToGrid w:val="0"/>
              <w:ind w:firstLine="3570" w:firstLineChars="170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3570" w:firstLineChars="1700"/>
              <w:rPr>
                <w:rFonts w:ascii="仿宋" w:hAnsi="仿宋" w:eastAsia="仿宋"/>
                <w:szCs w:val="28"/>
              </w:rPr>
            </w:pPr>
          </w:p>
          <w:p>
            <w:pPr>
              <w:adjustRightInd w:val="0"/>
              <w:snapToGrid w:val="0"/>
              <w:ind w:firstLine="5460" w:firstLineChars="195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3215"/>
        </w:tabs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4+cajcd fnt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066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WQzYzIxMmYzYmUyZTI5ZDExNGIzMTUwNTk4YzAifQ=="/>
  </w:docVars>
  <w:rsids>
    <w:rsidRoot w:val="00DB4CC9"/>
    <w:rsid w:val="000B4C7A"/>
    <w:rsid w:val="000F06CA"/>
    <w:rsid w:val="0013512C"/>
    <w:rsid w:val="001655A7"/>
    <w:rsid w:val="001A16DD"/>
    <w:rsid w:val="001F05DC"/>
    <w:rsid w:val="00212F28"/>
    <w:rsid w:val="00214AA7"/>
    <w:rsid w:val="002460ED"/>
    <w:rsid w:val="0029701F"/>
    <w:rsid w:val="002F05B7"/>
    <w:rsid w:val="002F511F"/>
    <w:rsid w:val="00362615"/>
    <w:rsid w:val="0038499E"/>
    <w:rsid w:val="00395426"/>
    <w:rsid w:val="004B7F01"/>
    <w:rsid w:val="004F4B9F"/>
    <w:rsid w:val="005425D3"/>
    <w:rsid w:val="005B4D05"/>
    <w:rsid w:val="00612B51"/>
    <w:rsid w:val="006178EE"/>
    <w:rsid w:val="006735B7"/>
    <w:rsid w:val="00681A61"/>
    <w:rsid w:val="007077E8"/>
    <w:rsid w:val="00820452"/>
    <w:rsid w:val="00867576"/>
    <w:rsid w:val="00895F2A"/>
    <w:rsid w:val="008E7A4F"/>
    <w:rsid w:val="009D2D11"/>
    <w:rsid w:val="00A3012F"/>
    <w:rsid w:val="00B1181F"/>
    <w:rsid w:val="00B63776"/>
    <w:rsid w:val="00B9502D"/>
    <w:rsid w:val="00BA50DD"/>
    <w:rsid w:val="00D11AF4"/>
    <w:rsid w:val="00DB4CC9"/>
    <w:rsid w:val="00E052D7"/>
    <w:rsid w:val="00E406FB"/>
    <w:rsid w:val="00E73DB9"/>
    <w:rsid w:val="00ED3962"/>
    <w:rsid w:val="00ED6D86"/>
    <w:rsid w:val="00F639E6"/>
    <w:rsid w:val="00F87135"/>
    <w:rsid w:val="00FB47F2"/>
    <w:rsid w:val="08AE0532"/>
    <w:rsid w:val="45927D1C"/>
    <w:rsid w:val="5E693359"/>
    <w:rsid w:val="607D01CE"/>
    <w:rsid w:val="73A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1561</Words>
  <Characters>1580</Characters>
  <Lines>12</Lines>
  <Paragraphs>3</Paragraphs>
  <TotalTime>288</TotalTime>
  <ScaleCrop>false</ScaleCrop>
  <LinksUpToDate>false</LinksUpToDate>
  <CharactersWithSpaces>1663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2019-01-15T07:11:00Z</dcterms:created>
  <dc:creator>苏启福</dc:creator>
  <cp:lastModifiedBy>Administrator</cp:lastModifiedBy>
  <dcterms:modified xsi:type="dcterms:W3CDTF">2022-07-18T08:01:50Z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23875B7FA08643BE853C71405786E6CF</vt:lpwstr>
  </property>
</Properties>
</file>