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pacing w:val="-10"/>
          <w:sz w:val="24"/>
          <w:szCs w:val="20"/>
        </w:rPr>
      </w:pPr>
      <w:r>
        <w:rPr>
          <w:rFonts w:ascii="黑体" w:hAnsi="黑体" w:eastAsia="黑体" w:cs="黑体"/>
          <w:b/>
          <w:bCs/>
          <w:spacing w:val="-10"/>
          <w:sz w:val="24"/>
          <w:szCs w:val="20"/>
        </w:rPr>
        <w:t xml:space="preserve"> </w:t>
      </w: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 xml:space="preserve"> </w:t>
      </w:r>
    </w:p>
    <w:p>
      <w:pPr>
        <w:ind w:firstLine="2430" w:firstLineChars="1100"/>
        <w:jc w:val="both"/>
        <w:rPr>
          <w:rFonts w:ascii="黑体" w:hAnsi="黑体" w:eastAsia="黑体" w:cs="黑体"/>
          <w:b/>
          <w:bCs/>
          <w:spacing w:val="-10"/>
          <w:sz w:val="24"/>
          <w:szCs w:val="20"/>
        </w:rPr>
      </w:pP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>读书笔记</w:t>
      </w:r>
    </w:p>
    <w:p>
      <w:pPr>
        <w:jc w:val="both"/>
        <w:rPr>
          <w:rFonts w:hint="eastAsia" w:asciiTheme="minorEastAsia" w:hAnsiTheme="minorEastAsia" w:cstheme="minorEastAsia"/>
          <w:spacing w:val="-10"/>
          <w:sz w:val="24"/>
          <w:szCs w:val="20"/>
        </w:rPr>
      </w:pP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>时间：</w:t>
      </w:r>
      <w:r>
        <w:rPr>
          <w:rFonts w:hint="eastAsia" w:asciiTheme="minorEastAsia" w:hAnsiTheme="minorEastAsia" w:cstheme="minorEastAsia"/>
          <w:spacing w:val="-10"/>
          <w:sz w:val="24"/>
          <w:szCs w:val="20"/>
        </w:rPr>
        <w:t>20</w:t>
      </w:r>
      <w:r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  <w:t>9</w:t>
      </w:r>
      <w:r>
        <w:rPr>
          <w:rFonts w:hint="eastAsia" w:asciiTheme="minorEastAsia" w:hAnsiTheme="minorEastAsia" w:cstheme="minorEastAsia"/>
          <w:spacing w:val="-10"/>
          <w:sz w:val="24"/>
          <w:szCs w:val="20"/>
        </w:rPr>
        <w:t>年0</w:t>
      </w:r>
      <w:r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  <w:t>8</w:t>
      </w:r>
      <w:r>
        <w:rPr>
          <w:rFonts w:hint="eastAsia" w:asciiTheme="minorEastAsia" w:hAnsiTheme="minorEastAsia" w:cstheme="minorEastAsia"/>
          <w:spacing w:val="-10"/>
          <w:sz w:val="24"/>
          <w:szCs w:val="20"/>
        </w:rPr>
        <w:t>月</w:t>
      </w:r>
      <w:r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  <w:t>20</w:t>
      </w:r>
      <w:r>
        <w:rPr>
          <w:rFonts w:hint="eastAsia" w:asciiTheme="minorEastAsia" w:hAnsiTheme="minorEastAsia" w:cstheme="minorEastAsia"/>
          <w:spacing w:val="-10"/>
          <w:sz w:val="24"/>
          <w:szCs w:val="20"/>
        </w:rPr>
        <w:t>日</w:t>
      </w:r>
    </w:p>
    <w:p>
      <w:pPr>
        <w:jc w:val="both"/>
        <w:rPr>
          <w:rFonts w:ascii="黑体" w:hAnsi="黑体" w:eastAsia="黑体" w:cs="黑体"/>
          <w:b w:val="0"/>
          <w:bCs w:val="0"/>
          <w:spacing w:val="-10"/>
          <w:sz w:val="24"/>
          <w:szCs w:val="20"/>
        </w:rPr>
      </w:pP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>书名：</w:t>
      </w:r>
      <w:r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  <w:t>思考中医</w:t>
      </w:r>
      <w:r>
        <w:rPr>
          <w:rFonts w:hint="eastAsia" w:asciiTheme="minorEastAsia" w:hAnsiTheme="minorEastAsia" w:cstheme="minorEastAsia"/>
          <w:spacing w:val="-10"/>
          <w:sz w:val="24"/>
          <w:szCs w:val="2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0"/>
          <w:sz w:val="24"/>
          <w:szCs w:val="20"/>
        </w:rPr>
        <w:t xml:space="preserve">   </w:t>
      </w:r>
    </w:p>
    <w:p>
      <w:pPr>
        <w:jc w:val="both"/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>章节：</w:t>
      </w:r>
      <w:r>
        <w:rPr>
          <w:rFonts w:hint="eastAsia" w:asciiTheme="minorEastAsia" w:hAnsiTheme="minorEastAsia" w:cstheme="minorEastAsia"/>
          <w:spacing w:val="-10"/>
          <w:sz w:val="24"/>
          <w:szCs w:val="20"/>
          <w:lang w:val="en-US" w:eastAsia="zh-CN"/>
        </w:rPr>
        <w:t>阴阳离合机制概念</w:t>
      </w:r>
    </w:p>
    <w:p>
      <w:pPr>
        <w:jc w:val="both"/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</w:pP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>原文摘录：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spacing w:val="-10"/>
          <w:sz w:val="24"/>
          <w:szCs w:val="20"/>
        </w:rPr>
      </w:pPr>
      <w:r>
        <w:rPr>
          <w:rFonts w:hint="eastAsia" w:asciiTheme="majorEastAsia" w:hAnsiTheme="majorEastAsia" w:eastAsiaTheme="majorEastAsia" w:cstheme="majorEastAsia"/>
          <w:spacing w:val="-10"/>
          <w:sz w:val="24"/>
          <w:szCs w:val="20"/>
        </w:rPr>
        <w:t>什么叫阳明？什么叫厥阴呢？《素问》里面有专门的定义：两阳相合为阳明，两阴交尽为厥阴。年由二十四个气组成，在年这个框架里，气就是最基本的变化单位，天地便是按照这样一个单位在不断地变化。由小雪到大雪，由小寒到大寒。人要与天地相应，就必须得跟上这个变化。《素问 ·灵兰秘典论》、《素问 ·六节藏象论》讲“肺者，治节出焉 ”,“肺者，气之本”。肺在运气里,在《阴阳大论》里,它属于阳明。阳明燥金，主肺与大肠。厥阴为风木，主肝胆。《素问 ·六节藏象论》云:“肝者，罢极之本，魂之居也。”在岁与岁这个层次上与天地沟通，这个要靠 “罢极之本”,要靠厥阴 ;在气与气这个层次上与天地沟通则要靠 “气之本 ”,要靠阳明。在年这个周期里面，有生长收藏，但是，在日这个周期里有没有生长收藏呢？同样也有生长收藏。所以，岐伯曰：“朝则为春，日中为夏，日入为秋，夜半为冬。”到了《素问》的第六篇，就专门有一个 “阴阳离合论”。怎么叫 “阴阳离合 ”呢？阴阳的离合实际上就是谈一个分工合作的问题。合作就是要实现阴阳的生长收藏、阳气的释放和蓄积，而要实现这样一个过程，就必须有不同的作用机制，这就要牵涉到分工。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spacing w:val="-10"/>
          <w:sz w:val="24"/>
          <w:szCs w:val="20"/>
        </w:rPr>
      </w:pPr>
    </w:p>
    <w:p>
      <w:pPr>
        <w:jc w:val="both"/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</w:pPr>
      <w:r>
        <w:rPr>
          <w:rFonts w:hint="eastAsia" w:ascii="黑体" w:hAnsi="黑体" w:eastAsia="黑体" w:cs="黑体"/>
          <w:b/>
          <w:bCs/>
          <w:spacing w:val="-10"/>
          <w:sz w:val="24"/>
          <w:szCs w:val="20"/>
        </w:rPr>
        <w:t>心得体会：</w:t>
      </w:r>
    </w:p>
    <w:p>
      <w:pPr>
        <w:spacing w:before="156" w:beforeLines="50"/>
      </w:pPr>
      <w:r>
        <w:rPr>
          <w:rFonts w:hint="eastAsia" w:asciiTheme="majorEastAsia" w:hAnsiTheme="majorEastAsia" w:eastAsiaTheme="majorEastAsia" w:cstheme="majorEastAsia"/>
          <w:spacing w:val="-10"/>
          <w:sz w:val="24"/>
          <w:szCs w:val="20"/>
        </w:rPr>
        <w:t>《素问 ·阴阳离合论》在具体论述阴阳的离合时说： “是故三阳之离合也，太阳为开，阳明为合，少阳为枢。是故三阴之离合也，太阴为开，厥阴为合，少阴为枢。”开则能够出入，合则出入停止。那么，门要能够开合，它靠什么起作用？它靠枢的作用。所以，门户这样一个总和的概念，要是把它分开来，就是开合枢这三部分。没有开合，门户就不成其为门户，而要实现开合自如，没有枢又不行。《素问 ·六微旨大论》说:“升降出入，无器不有。”有升降出入，当然就有生长收藏。《素问 ·四气调神大论》曰:“夫四时阴阳者，万物之根本也,所以圣人春夏养阳，秋冬养阴，以从其根，故与万物沉浮于生长之门。”这里的沉浮也就是讲出入，也就是讲升降。沉者入也,浮者出也。一方面是浮于生长之门，这个过程是讲阳气的出，阳气的升，实际上就是阳的升发释放 ;另一方面是沉于生长之门，这个过程是讲阳气的入，阳气的降，实际上就是阳的收藏蓄积。我们观察任何事物，我们望、闻、问、切的目的，就是要透过这个表象，看它的实质，看它的根本，看它的这个阴阳变化。《内经》讲:“察色按脉，先别阴阳。”就是强调这个问题。三阳有一个三阳的开合枢，三阴有一个三阴的开合枢。这就意味着应该有两个门,一个是三阳主宰的阳门，一个是三阴主宰的阴门。上面讲到的只是生长之门，其实这是一个省略，应该还有一个收藏之门。三阳主的阳门，实际就是生长之门 ;三阴主的阴门,实际就是收藏之门。阳门开的时候,阴门要逐渐关闭，否则，阳气一边出，一边入，甚至出不敷入，那这个春夏的变化，这个生长的变化，就没有办法实现。同理，阴门开的时候，阳门也要逐渐的关闭，否则,阳气一边入，一边出，甚至入不敷出，那这个秋冬的变化，这个收藏的变化就根本没有办法实现。《素问 ·六微旨大论》说:“出入废则神机化灭，升降息则气立孤危。”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WQzYzIxMmYzYmUyZTI5ZDExNGIzMTUwNTk4YzAifQ=="/>
  </w:docVars>
  <w:rsids>
    <w:rsidRoot w:val="46C84DEA"/>
    <w:rsid w:val="46C84DEA"/>
    <w:rsid w:val="675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1263</Words>
  <Characters>1268</Characters>
  <Lines>0</Lines>
  <Paragraphs>0</Paragraphs>
  <TotalTime>2</TotalTime>
  <ScaleCrop>false</ScaleCrop>
  <LinksUpToDate>false</LinksUpToDate>
  <CharactersWithSpaces>1292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2022-06-27T01:16:00Z</dcterms:created>
  <dc:creator>PP</dc:creator>
  <cp:lastModifiedBy>Administrator</cp:lastModifiedBy>
  <dcterms:modified xsi:type="dcterms:W3CDTF">2022-07-18T03:09:48Z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EE469AE13753458FBB8335550EAB6AE7</vt:lpwstr>
  </property>
</Properties>
</file>