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ascii="黑体" w:hAnsi="黑体" w:eastAsia="黑体" w:cs="黑体"/>
          <w:b/>
          <w:bCs/>
          <w:spacing w:val="-10"/>
          <w:sz w:val="24"/>
          <w:szCs w:val="20"/>
        </w:rPr>
        <w:t xml:space="preserve"> </w:t>
      </w: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 xml:space="preserve"> </w:t>
      </w:r>
    </w:p>
    <w:p>
      <w:pPr>
        <w:ind w:firstLine="2430" w:firstLineChars="1100"/>
        <w:rPr>
          <w:rFonts w:ascii="黑体" w:hAnsi="黑体" w:eastAsia="黑体" w:cs="黑体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读书笔记</w:t>
      </w:r>
    </w:p>
    <w:p>
      <w:pPr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时间：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20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  <w:lang w:val="en-US" w:eastAsia="zh-CN"/>
        </w:rPr>
        <w:t>18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年10</w:t>
      </w: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月13日</w:t>
      </w:r>
    </w:p>
    <w:p>
      <w:pPr>
        <w:rPr>
          <w:rFonts w:ascii="黑体" w:hAnsi="黑体" w:eastAsia="黑体" w:cs="黑体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书名：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名师经方讲录-第2辑</w:t>
      </w:r>
    </w:p>
    <w:p>
      <w:pPr>
        <w:rPr>
          <w:rFonts w:ascii="等线 Light" w:hAnsi="等线 Light" w:eastAsia="等线 Light" w:cs="等线 Light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章节：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读经典 多临床 访明师 勤思考一浅谈学习中医经典著作（郝万山）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  <w:lang w:val="en-US" w:eastAsia="zh-CN"/>
        </w:rPr>
        <w:t>之柴胡桂枝汤证之疑感</w:t>
      </w:r>
    </w:p>
    <w:p>
      <w:pPr>
        <w:spacing w:line="420" w:lineRule="exact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原文摘录：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《伤寒论》146条说，“伤寒六七日，发热，微恶寒，支节烦疼，微呕，心下支结，外证未去者，柴胡桂枝汤主之。”仲景准确的描述了一个外感病的七日节律。“发热微恶寒”，这是一个太阳表证；“微呕，心下支结”，呕吐是胆热犯胃，胃气上逆的表现；心下是胃脘部，是少阳经脉和少阳分支所过的部位，有支撑节制的感觉，这是少阳经气不利，少阳经脉受邪的表现。于是我们的教材和很多注家就说这是少阳和太阳同病，因为少阳和太阳病都不重，因此把柴胡汤和桂枝汤合起来用。那疑惑就来了，《伤寒论》101条说，“伤寒中风，有柴胡证，但见一证便是，不必悉具。”太阳伤寒或者太阳中风证的病程中只要出现小柴胡汤的适应证，不必出现那么多的症状：口苦，咽干，目眩，往来寒热，胸胁苦满，默默不欲饮食，心烦喜呕……只要有一两个症状，能够提示邪入少阳经腑，我们就可以用小柴胡汤。那我们把146条解释成少阳不和兼有太阳表证的话，就可以用小柴胡汤治疗，那为什么用桂枝汤加减呢？这是第一个问题我们要思考。第二个问题，“支节烦疼”,“支”是“四肢”的“肢”,“节”是关节。“烦”是什么意思，做“心烦”讲肯定不行。汉代郑玄注《周礼》说：“烦，尤剧也。”“烦”字在特殊的背景下，它可以当“剧烈”的“剧”。这样这句话就非常通顺了，就是四肢关节剧烈的疼痛。按照教材所说，如果四肢关节剧烈疼痛归属到太阳病的话，应该属于太阳伤寒，太阳伤寒应该有头疼，身疼，腰疼，骨节疼痛，还应该伴有严重的恶寒啊！而原文却说“发热微恶寒”，所以不应当是太阳伤寒的表现。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那么在《伤寒论》中有没有类似的描述呢？在太阴病篇的274条，“太阴中风，四肢烦疼，阳微阴涩而长者，为欲愈。”太阴脾主四肢，风寒邪气侵袭四肢，导致肌肉关节剧烈疼痛，仲景就把它叫做“太阴中风”，并没有列入太阴虚寒兼有太阳中风证的范畴。四肢是人体的外周，正气抗邪于表，气血浮盛于外，脉应当浮。现在脉是阳微，轻轻一摸脉，由浮而转微，这就是《黄帝内经》所说的“大则病进，小则平。”脉转微提示邪气转弱，“阴涩而长”,“而”字是表转折的，沉取由涩脉变成了端直以长，“涩”是气血不足、脉道不充的表现，转变为“端直以长”是气血恢复的表现，正复邪退，太阴中风可以自己好。275条接着说了，“太阴病，欲解时，从亥至丑上。”这个太阴病欲解时不是指太阴虚寒的，而指的是太阴中风证，夜里手脚不疼了，胳膊腿不疼了，就好了。因为夜半子时一阳生。如果不好怎么办？276条接着说了，“太阴病，脉浮者，可发汗，宜桂枝汤。”有人认为这是太阴虚寒证兼有太阳表证，所以采用桂枝汤发汗。如果这样理解就不符合仲景的一贯做法了，仲景主张“虚人伤寒建其中”,如果是太阴里虚寒又兼有太阳表证的话，他可能先用理中汤，即使不用理中汤，他可能会用桂枝人参汤，在温中补虚的基础上加一味桂枝兼以解表。而这里说仲景直接用桂枝汤，所以并不是太阴脏虚寒兼有太阳表证，而就是太阴中风。当我们明白了这个意思之后，再翻回来看146条就不难理解了。</w:t>
      </w: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  <w:r>
        <w:rPr>
          <w:rFonts w:hint="eastAsia" w:ascii="等线 Light" w:hAnsi="等线 Light" w:eastAsia="等线 Light" w:cs="等线 Light"/>
          <w:b/>
          <w:bCs/>
          <w:spacing w:val="-10"/>
          <w:sz w:val="24"/>
          <w:szCs w:val="20"/>
        </w:rPr>
        <w:t>心得体会：</w:t>
      </w: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  <w:r>
        <w:rPr>
          <w:rFonts w:hint="default" w:hAnsi="等线 Light" w:eastAsia="等线 Light" w:cs="等线 Light"/>
          <w:b/>
          <w:bCs/>
          <w:spacing w:val="-10"/>
          <w:sz w:val="24"/>
          <w:szCs w:val="20"/>
          <w:lang w:val="en-US"/>
        </w:rPr>
        <w:t xml:space="preserve">    </w:t>
      </w:r>
      <w:r>
        <w:rPr>
          <w:rFonts w:hint="eastAsia" w:ascii="宋体" w:hAnsi="宋体" w:eastAsia="宋体" w:cs="等线 Light"/>
          <w:b/>
          <w:bCs/>
          <w:spacing w:val="-10"/>
          <w:sz w:val="24"/>
          <w:szCs w:val="20"/>
          <w:lang w:val="en-US" w:eastAsia="zh-CN"/>
        </w:rPr>
        <w:t>正如郝老师所言：</w:t>
      </w:r>
      <w:r>
        <w:rPr>
          <w:rFonts w:hint="default" w:ascii="宋体" w:hAnsi="宋体" w:eastAsia="宋体" w:cs="等线 Light"/>
          <w:b/>
          <w:bCs/>
          <w:spacing w:val="-10"/>
          <w:sz w:val="24"/>
          <w:szCs w:val="20"/>
          <w:lang w:val="en-US"/>
        </w:rPr>
        <w:t>“发热微恶寒”是太阳表证不重，“微呕，心下支节”是少阳经腑受邪、枢机不利的证候，也不严重。要命的是有个太阴中风，四肢关节有剧烈的疼痛，这时候只用小柴胡汤就不行了，必须把桂枝汤加进来。而且在《金匮要略》里用柴胡桂枝汤不仅可以治疗四肢烦疼，还可以治疗“心腹卒中痛”，我们知道桂枝汤是治疗四肢关节剧烈疼痛非常好的方子，这就是为什么现在很多人用桂枝汤加减治疗各类痹症的依据所在。</w:t>
      </w:r>
      <w:r>
        <w:rPr>
          <w:rFonts w:hint="eastAsia" w:ascii="宋体" w:hAnsi="宋体" w:eastAsia="宋体" w:cs="等线 Light"/>
          <w:b/>
          <w:bCs/>
          <w:spacing w:val="-10"/>
          <w:sz w:val="24"/>
          <w:szCs w:val="20"/>
          <w:lang w:val="en-US" w:eastAsia="zh-CN"/>
        </w:rPr>
        <w:t>经典的灵魂就是不断在探索中不断发掘新的可能性。不断思考，不停的进步！</w:t>
      </w: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000000"/>
    <w:rsid w:val="606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1512</Words>
  <Characters>1531</Characters>
  <Paragraphs>13</Paragraphs>
  <TotalTime>3</TotalTime>
  <ScaleCrop>false</ScaleCrop>
  <LinksUpToDate>false</LinksUpToDate>
  <CharactersWithSpaces>1540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2022-06-25T10:43:00Z</dcterms:created>
  <dc:creator>谢 丽萍</dc:creator>
  <cp:lastModifiedBy>Administrator</cp:lastModifiedBy>
  <dcterms:modified xsi:type="dcterms:W3CDTF">2022-07-18T07:33:08Z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926c5ecf709f4e088fd6bdf7b2be5f5d</vt:lpwstr>
  </property>
  <property fmtid="{D5CDD505-2E9C-101B-9397-08002B2CF9AE}" pid="3" name="KSOProductBuildVer">
    <vt:lpwstr>2052-11.1.0.11830</vt:lpwstr>
  </property>
</Properties>
</file>