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80" w:firstLineChars="200"/>
        <w:rPr>
          <w:rFonts w:ascii="楷体" w:hAnsi="楷体" w:eastAsia="楷体" w:cs="楷体_GB2312"/>
          <w:color w:val="000000"/>
          <w:sz w:val="28"/>
          <w:szCs w:val="28"/>
        </w:rPr>
      </w:pPr>
      <w:r>
        <w:rPr>
          <w:sz w:val="24"/>
        </w:rPr>
        <w:t xml:space="preserve">            </w:t>
      </w:r>
      <w:r>
        <w:rPr>
          <w:rFonts w:ascii="楷体" w:hAnsi="楷体" w:eastAsia="楷体" w:cs="楷体_GB2312"/>
          <w:color w:val="000000"/>
          <w:sz w:val="28"/>
          <w:szCs w:val="28"/>
        </w:rPr>
        <w:t xml:space="preserve">  </w:t>
      </w:r>
      <w:r>
        <w:rPr>
          <w:rFonts w:hint="eastAsia" w:ascii="楷体" w:hAnsi="楷体" w:eastAsia="楷体" w:cs="楷体_GB2312"/>
          <w:color w:val="000000"/>
          <w:sz w:val="28"/>
          <w:szCs w:val="28"/>
        </w:rPr>
        <w:t>水蛭在慢性肾脏疾病应用</w:t>
      </w:r>
      <w:bookmarkStart w:id="0" w:name="_Hlk107176703"/>
      <w:r>
        <w:rPr>
          <w:rFonts w:hint="eastAsia" w:ascii="楷体" w:hAnsi="楷体" w:eastAsia="楷体" w:cs="楷体_GB2312"/>
          <w:color w:val="000000"/>
          <w:sz w:val="28"/>
          <w:szCs w:val="28"/>
        </w:rPr>
        <w:t>临证</w:t>
      </w:r>
      <w:bookmarkEnd w:id="0"/>
      <w:r>
        <w:rPr>
          <w:rFonts w:hint="eastAsia" w:ascii="楷体" w:hAnsi="楷体" w:eastAsia="楷体" w:cs="楷体_GB2312"/>
          <w:color w:val="000000"/>
          <w:sz w:val="28"/>
          <w:szCs w:val="28"/>
        </w:rPr>
        <w:t xml:space="preserve">心得 </w:t>
      </w:r>
      <w:r>
        <w:rPr>
          <w:rFonts w:ascii="楷体" w:hAnsi="楷体" w:eastAsia="楷体" w:cs="楷体_GB2312"/>
          <w:color w:val="000000"/>
          <w:sz w:val="28"/>
          <w:szCs w:val="28"/>
        </w:rPr>
        <w:t xml:space="preserve"> </w:t>
      </w:r>
    </w:p>
    <w:p>
      <w:pPr>
        <w:snapToGrid w:val="0"/>
        <w:spacing w:line="500" w:lineRule="exact"/>
        <w:ind w:firstLine="560" w:firstLineChars="200"/>
        <w:rPr>
          <w:rFonts w:ascii="楷体" w:hAnsi="楷体" w:eastAsia="楷体" w:cs="楷体_GB2312"/>
          <w:color w:val="000000"/>
          <w:sz w:val="28"/>
          <w:szCs w:val="28"/>
        </w:rPr>
      </w:pPr>
      <w:bookmarkStart w:id="1" w:name="_Hlk107176893"/>
      <w:r>
        <w:rPr>
          <w:rFonts w:hint="eastAsia" w:ascii="楷体" w:hAnsi="楷体" w:eastAsia="楷体" w:cs="楷体_GB2312"/>
          <w:color w:val="000000"/>
          <w:sz w:val="28"/>
          <w:szCs w:val="28"/>
        </w:rPr>
        <w:t>慢性肾脏疾病</w:t>
      </w:r>
      <w:bookmarkEnd w:id="1"/>
      <w:r>
        <w:rPr>
          <w:rFonts w:hint="eastAsia" w:ascii="楷体" w:hAnsi="楷体" w:eastAsia="楷体" w:cs="楷体_GB2312"/>
          <w:color w:val="000000"/>
          <w:sz w:val="28"/>
          <w:szCs w:val="28"/>
        </w:rPr>
        <w:t>（chronic kidney disease，CKD）是严重威胁人类健康的常见疾病。慢性肾脏病中晚期患者，症状突出，并发症较多，最终将不可避免接受替代治疗，社会负担和经济负担沉重。本病属中医之“关格”、“癃闭”、“虚劳”等范畴。</w:t>
      </w:r>
    </w:p>
    <w:p>
      <w:pPr>
        <w:snapToGrid w:val="0"/>
        <w:spacing w:line="500" w:lineRule="exact"/>
        <w:ind w:firstLine="560" w:firstLineChars="200"/>
        <w:rPr>
          <w:rFonts w:hint="eastAsia" w:ascii="楷体" w:hAnsi="楷体" w:eastAsia="楷体" w:cs="楷体_GB2312"/>
          <w:color w:val="000000"/>
          <w:sz w:val="28"/>
          <w:szCs w:val="28"/>
        </w:rPr>
      </w:pPr>
      <w:r>
        <w:rPr>
          <w:rFonts w:hint="eastAsia" w:ascii="楷体" w:hAnsi="楷体" w:eastAsia="楷体" w:cs="楷体_GB2312"/>
          <w:color w:val="000000"/>
          <w:sz w:val="28"/>
          <w:szCs w:val="28"/>
        </w:rPr>
        <w:t>史伟老师认为病机主要集中在本虚与标实两方面。本虚以脾肾不足、肝肾阴虚、阴阳两虚等为主，而标实以血瘀、水湿、痰浊、湿热、溺毒为要，其中血瘀证是CKD最常见的证型，贯穿于CKD病程始终。肾脏病与血瘀的关系，古代医籍多集中在水病与血瘀的关系中，如《素问·调经论》中“瘀血不去，其水乃成”，《金匮要略》说：“血不利则为水。”</w:t>
      </w:r>
    </w:p>
    <w:p>
      <w:pPr>
        <w:snapToGrid w:val="0"/>
        <w:spacing w:line="500" w:lineRule="exact"/>
        <w:ind w:firstLine="560" w:firstLineChars="200"/>
        <w:rPr>
          <w:rFonts w:ascii="楷体" w:hAnsi="楷体" w:eastAsia="楷体" w:cs="楷体_GB2312"/>
          <w:color w:val="000000"/>
          <w:sz w:val="28"/>
          <w:szCs w:val="28"/>
        </w:rPr>
      </w:pPr>
      <w:r>
        <w:rPr>
          <w:rFonts w:hint="eastAsia" w:ascii="楷体" w:hAnsi="楷体" w:eastAsia="楷体" w:cs="楷体_GB2312"/>
          <w:color w:val="000000"/>
          <w:sz w:val="28"/>
          <w:szCs w:val="28"/>
        </w:rPr>
        <w:t>因此，史伟老师提出“肾络瘀阻”是肾小球硬化、肾间质小管纤维化的基本病理机制，这些病理改变和病理过程均可以归属于中医“血瘀证”范畴，这些为肾病血瘀证提供了现代病理学依据。瘀血既是CKD的病理产物，又是致病因素，是诱发及加重CKD的病理因素，也是发病及病机演变的关键环节，活血化瘀法是治疗CKD的常用法则。</w:t>
      </w:r>
    </w:p>
    <w:p>
      <w:pPr>
        <w:snapToGrid w:val="0"/>
        <w:spacing w:line="500" w:lineRule="exact"/>
        <w:ind w:firstLine="560" w:firstLineChars="200"/>
        <w:rPr>
          <w:rFonts w:hint="eastAsia" w:ascii="楷体" w:hAnsi="楷体" w:eastAsia="楷体" w:cs="楷体_GB2312"/>
          <w:color w:val="000000"/>
          <w:sz w:val="28"/>
          <w:szCs w:val="28"/>
        </w:rPr>
      </w:pPr>
      <w:r>
        <w:rPr>
          <w:rFonts w:hint="eastAsia" w:ascii="楷体" w:hAnsi="楷体" w:eastAsia="楷体" w:cs="楷体_GB2312"/>
          <w:color w:val="000000"/>
          <w:sz w:val="28"/>
          <w:szCs w:val="28"/>
        </w:rPr>
        <w:t>在慢性肾脏疾病临证应用中，史伟老师善于在辨证方中加</w:t>
      </w:r>
      <w:bookmarkStart w:id="2" w:name="_Hlk107176897"/>
      <w:r>
        <w:rPr>
          <w:rFonts w:hint="eastAsia" w:ascii="楷体" w:hAnsi="楷体" w:eastAsia="楷体" w:cs="楷体_GB2312"/>
          <w:color w:val="000000"/>
          <w:sz w:val="28"/>
          <w:szCs w:val="28"/>
        </w:rPr>
        <w:t>水蛭，水蛭</w:t>
      </w:r>
      <w:bookmarkEnd w:id="2"/>
      <w:r>
        <w:rPr>
          <w:rFonts w:hint="eastAsia" w:ascii="楷体" w:hAnsi="楷体" w:eastAsia="楷体" w:cs="楷体_GB2312"/>
          <w:color w:val="000000"/>
          <w:sz w:val="28"/>
          <w:szCs w:val="28"/>
        </w:rPr>
        <w:t>为环节动物水蛭科蚂蟥、水蛭或柳叶蚂蟥的干燥体。其味辛咸、性平，具有破血逐瘀、通经活络等功效。现代药理研究证实，水蛭具有抗凝血、抗血栓、抗炎、抗纤维化等作用。水蛭素是存在于水蛭唾液腺里的一种具有代表性的活性物质，水蛭中是否含有水蛭素及其含量的多寡成为衡量药用水蛭功效的一个重要标准。水蛭素主要以原型和代谢物的形式通过肾脏代</w:t>
      </w:r>
      <w:r>
        <w:rPr>
          <w:rFonts w:ascii="楷体" w:hAnsi="楷体" w:eastAsia="楷体" w:cs="楷体_GB2312"/>
          <w:color w:val="000000"/>
          <w:sz w:val="28"/>
          <w:szCs w:val="28"/>
        </w:rPr>
        <w:t>谢经尿液排泄</w:t>
      </w:r>
      <w:r>
        <w:rPr>
          <w:rFonts w:hint="eastAsia" w:ascii="楷体" w:hAnsi="楷体" w:eastAsia="楷体" w:cs="楷体_GB2312"/>
          <w:color w:val="000000"/>
          <w:sz w:val="28"/>
          <w:szCs w:val="28"/>
        </w:rPr>
        <w:t>。现代药理研究表明，</w:t>
      </w:r>
      <w:r>
        <w:rPr>
          <w:rFonts w:ascii="楷体" w:hAnsi="楷体" w:eastAsia="楷体" w:cs="楷体_GB2312"/>
          <w:color w:val="000000"/>
          <w:sz w:val="28"/>
          <w:szCs w:val="28"/>
        </w:rPr>
        <w:t>水蛭素是天然凝血酶特异性抑制因子，其抗凝、抗血栓作用是通过直接抑制凝血酶的活性来完成的，不依赖辅助因子，而且不与血浆白蛋白相结合；有明显的抗凝、抗栓、抗动脉粥样硬化、抗血小板聚集及降脂、抗炎、抗细胞凋亡等</w:t>
      </w:r>
      <w:r>
        <w:rPr>
          <w:rFonts w:hint="eastAsia" w:ascii="楷体" w:hAnsi="楷体" w:eastAsia="楷体" w:cs="楷体_GB2312"/>
          <w:color w:val="000000"/>
          <w:sz w:val="28"/>
          <w:szCs w:val="28"/>
        </w:rPr>
        <w:t>作</w:t>
      </w:r>
      <w:r>
        <w:rPr>
          <w:rFonts w:ascii="楷体" w:hAnsi="楷体" w:eastAsia="楷体" w:cs="楷体_GB2312"/>
          <w:color w:val="000000"/>
          <w:sz w:val="28"/>
          <w:szCs w:val="28"/>
        </w:rPr>
        <w:t>用。</w:t>
      </w:r>
      <w:r>
        <w:rPr>
          <w:rFonts w:hint="eastAsia" w:ascii="楷体" w:hAnsi="楷体" w:eastAsia="楷体" w:cs="楷体_GB2312"/>
          <w:color w:val="000000"/>
          <w:sz w:val="28"/>
          <w:szCs w:val="28"/>
        </w:rPr>
        <w:t>水蛭素治疗CKD疗效明显，其作用机制为：改善血液流变学，抗凝血、活化纤溶系统，抑制血小板聚集、溶解血栓，调整血脂水平，拮抗肾间质纤维化，缓解炎症反应对肾组织的损伤，抗肾小球系膜细胞增殖和炎性细胞浸润。</w:t>
      </w:r>
    </w:p>
    <w:p>
      <w:pPr>
        <w:snapToGrid w:val="0"/>
        <w:spacing w:line="500" w:lineRule="exact"/>
        <w:ind w:firstLine="560" w:firstLineChars="200"/>
        <w:rPr>
          <w:rFonts w:hint="default" w:ascii="楷体" w:hAnsi="楷体" w:eastAsia="楷体" w:cs="楷体_GB2312"/>
          <w:color w:val="000000"/>
          <w:sz w:val="28"/>
          <w:szCs w:val="28"/>
          <w:lang w:val="en-US" w:eastAsia="zh-CN"/>
        </w:rPr>
      </w:pPr>
      <w:r>
        <w:rPr>
          <w:rFonts w:hint="eastAsia" w:ascii="楷体" w:hAnsi="楷体" w:eastAsia="楷体" w:cs="楷体_GB2312"/>
          <w:color w:val="000000"/>
          <w:sz w:val="28"/>
          <w:szCs w:val="28"/>
          <w:lang w:val="en-US" w:eastAsia="zh-CN"/>
        </w:rPr>
        <w:t xml:space="preserve">                                 </w:t>
      </w:r>
      <w:bookmarkStart w:id="3" w:name="_GoBack"/>
      <w:bookmarkEnd w:id="3"/>
      <w:r>
        <w:rPr>
          <w:rFonts w:hint="eastAsia" w:ascii="楷体" w:hAnsi="楷体" w:eastAsia="楷体" w:cs="楷体_GB2312"/>
          <w:color w:val="000000"/>
          <w:sz w:val="28"/>
          <w:szCs w:val="28"/>
          <w:lang w:val="en-US" w:eastAsia="zh-CN"/>
        </w:rPr>
        <w:t>日期：2019年10月13日</w:t>
      </w:r>
    </w:p>
    <w:p>
      <w:pPr>
        <w:rPr>
          <w:rFonts w:ascii="楷体" w:hAnsi="楷体" w:eastAsia="楷体" w:cs="楷体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wYWQzYzIxMmYzYmUyZTI5ZDExNGIzMTUwNTk4YzAifQ=="/>
  </w:docVars>
  <w:rsids>
    <w:rsidRoot w:val="00495F5D"/>
    <w:rsid w:val="000D43DC"/>
    <w:rsid w:val="002E21B1"/>
    <w:rsid w:val="004924CD"/>
    <w:rsid w:val="00495F5D"/>
    <w:rsid w:val="005E1E6F"/>
    <w:rsid w:val="007D2479"/>
    <w:rsid w:val="00917CFF"/>
    <w:rsid w:val="009F0D1F"/>
    <w:rsid w:val="00B12ED1"/>
    <w:rsid w:val="00CD7981"/>
    <w:rsid w:val="150F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823</Words>
  <Characters>854</Characters>
  <Lines>6</Lines>
  <Paragraphs>1</Paragraphs>
  <TotalTime>18</TotalTime>
  <ScaleCrop>false</ScaleCrop>
  <LinksUpToDate>false</LinksUpToDate>
  <CharactersWithSpaces>872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2022-06-24T15:15:00Z</dcterms:created>
  <dc:creator>谢 丽萍</dc:creator>
  <cp:lastModifiedBy>Administrator</cp:lastModifiedBy>
  <dcterms:modified xsi:type="dcterms:W3CDTF">2022-07-18T07:41:03Z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231C7EDF75E94FE78D60F6D7417D3534</vt:lpwstr>
  </property>
</Properties>
</file>