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患者樊海丽，女，</w:t>
      </w:r>
      <w:r>
        <w:rPr>
          <w:rFonts w:ascii="宋体" w:eastAsia="宋体" w:cs="宋体" w:hAnsiTheme="minorHAnsi"/>
          <w:color w:val="000000"/>
          <w:sz w:val="24"/>
          <w:szCs w:val="24"/>
        </w:rPr>
        <w:t>56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岁，因“反复四肢关节疼痛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年余”于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2020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年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月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>1</w:t>
      </w:r>
      <w:r>
        <w:rPr>
          <w:rFonts w:ascii="宋体" w:eastAsia="宋体" w:cs="宋体" w:hAnsiTheme="minorHAnsi"/>
          <w:color w:val="000000"/>
          <w:sz w:val="24"/>
          <w:szCs w:val="24"/>
        </w:rPr>
        <w:t>9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日</w:t>
      </w:r>
      <w:r>
        <w:rPr>
          <w:rFonts w:ascii="宋体" w:eastAsia="宋体" w:cs="宋体" w:hAnsiTheme="minorHAnsi"/>
          <w:color w:val="000000"/>
          <w:sz w:val="24"/>
          <w:szCs w:val="24"/>
        </w:rPr>
        <w:t>12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时</w:t>
      </w:r>
      <w:r>
        <w:rPr>
          <w:rFonts w:ascii="宋体" w:eastAsia="宋体" w:cs="宋体" w:hAnsiTheme="minorHAnsi"/>
          <w:color w:val="000000"/>
          <w:sz w:val="24"/>
          <w:szCs w:val="24"/>
        </w:rPr>
        <w:t>01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分由门诊拟“类风湿关节炎”收治入院。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eastAsia="宋体" w:cs="宋体" w:hAnsiTheme="minorHAnsi"/>
          <w:color w:val="000000"/>
          <w:sz w:val="24"/>
          <w:szCs w:val="24"/>
        </w:rPr>
        <w:t>患者诉左髋关节疼痛，活动时疼痛加重，伴左下肢乏力，无跛行，无脚踩棉花感，无明显关节活动受限，无红肿热痛，无晨僵，双手指间关节无僵硬感，无雷诺现象，无恶寒发热。纳可，寐差，偶有解少量泡沫尿，大便正常。查体：血压：</w:t>
      </w:r>
      <w:r>
        <w:rPr>
          <w:rFonts w:ascii="宋体" w:eastAsia="宋体" w:cs="宋体" w:hAnsiTheme="minorHAnsi"/>
          <w:color w:val="000000"/>
          <w:sz w:val="24"/>
          <w:szCs w:val="24"/>
        </w:rPr>
        <w:t>99/72mmHg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，生命体征平稳。心肺腹查体未见明显异常。专科检查：左臀后外侧压痛，左髋部关节活动轻度受限，未触及明显摩擦感，双侧“</w:t>
      </w:r>
      <w:r>
        <w:rPr>
          <w:rFonts w:ascii="宋体" w:eastAsia="宋体" w:cs="宋体" w:hAnsiTheme="minorHAnsi"/>
          <w:color w:val="000000"/>
          <w:sz w:val="24"/>
          <w:szCs w:val="24"/>
        </w:rPr>
        <w:t>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”字试验</w:t>
      </w:r>
      <w:r>
        <w:rPr>
          <w:rFonts w:ascii="宋体" w:eastAsia="宋体" w:cs="宋体" w:hAnsiTheme="minorHAnsi"/>
          <w:color w:val="000000"/>
          <w:sz w:val="24"/>
          <w:szCs w:val="24"/>
        </w:rPr>
        <w:t>(-)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，双下肢直腿抬高试验</w:t>
      </w:r>
      <w:r>
        <w:rPr>
          <w:rFonts w:ascii="宋体" w:eastAsia="宋体" w:cs="宋体" w:hAnsiTheme="minorHAnsi"/>
          <w:color w:val="000000"/>
          <w:sz w:val="24"/>
          <w:szCs w:val="24"/>
        </w:rPr>
        <w:t>80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°</w:t>
      </w:r>
      <w:r>
        <w:rPr>
          <w:rFonts w:ascii="宋体" w:eastAsia="宋体" w:cs="宋体" w:hAnsiTheme="minorHAnsi"/>
          <w:color w:val="000000"/>
          <w:sz w:val="24"/>
          <w:szCs w:val="24"/>
        </w:rPr>
        <w:t>(-)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，双下肢股神经牵拉试验（</w:t>
      </w:r>
      <w:r>
        <w:rPr>
          <w:rFonts w:ascii="宋体" w:eastAsia="宋体" w:cs="宋体" w:hAnsiTheme="minorHAnsi"/>
          <w:color w:val="000000"/>
          <w:sz w:val="24"/>
          <w:szCs w:val="24"/>
        </w:rPr>
        <w:t>-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），双下肢感觉正常，双下肢肌力未见明显异常，双侧腱反射对称性存在。四肢关节活动无明显受限。辅助检查：血常规：血红蛋白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113g/L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↓；肾功能：肌酐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110umol/L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↑、尿酸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436umol/L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↑；肝功能：前白蛋白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175mg/l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↓、白蛋白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36.2g/L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↓；风湿三项：</w:t>
      </w:r>
      <w:r>
        <w:rPr>
          <w:rFonts w:ascii="宋体" w:eastAsia="宋体" w:cs="宋体" w:hAnsiTheme="minorHAnsi"/>
          <w:color w:val="000000"/>
          <w:sz w:val="24"/>
          <w:szCs w:val="24"/>
        </w:rPr>
        <w:t>C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反应蛋白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20.310mg/L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↑、类风湿因子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345.10IU/mL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↑；红细胞沉降率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59mm/h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↑；凝血四项、尿常规、葡萄糖测定、电解质、血脂六项测定、心肌酶、免疫球蛋白全套（无补体）、补体</w:t>
      </w:r>
      <w:r>
        <w:rPr>
          <w:rFonts w:ascii="宋体" w:eastAsia="宋体" w:cs="宋体" w:hAnsiTheme="minorHAnsi"/>
          <w:color w:val="000000"/>
          <w:sz w:val="24"/>
          <w:szCs w:val="24"/>
        </w:rPr>
        <w:t>C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、铁四项、糖化血红蛋白测定、大便常规未见明显异常。心电图：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、窦性心律；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</w:t>
      </w:r>
      <w:r>
        <w:rPr>
          <w:rFonts w:ascii="宋体" w:eastAsia="宋体" w:cs="宋体" w:hAnsiTheme="minorHAnsi"/>
          <w:color w:val="000000"/>
          <w:sz w:val="24"/>
          <w:szCs w:val="24"/>
        </w:rPr>
        <w:t>T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波改变。建议结合临床，动态心电图检查协助完善诊断。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  <w:lang w:val="en-US" w:eastAsia="zh-CN"/>
        </w:rPr>
        <w:t>吴金玉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主任医师查房后指示：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四诊合参，本病属祖国医学“尪痹”范畴，缘由患者痹病日久，邪痹经络，气血津液运行不畅，致痰浊瘀血互结留滞经络、关节、肌肉而发为本病。舌暗有瘀斑，苔厚腻，脉沉，均为痰瘀痹阻之象。病位在经络、肢节，病性虚实夹杂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中医诊断：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尪痹</w:t>
      </w:r>
      <w:r>
        <w:rPr>
          <w:rFonts w:ascii="宋体" w:eastAsia="宋体" w:cs="宋体" w:hAnsiTheme="minorHAnsi"/>
          <w:color w:val="000000"/>
          <w:sz w:val="24"/>
          <w:szCs w:val="24"/>
        </w:rPr>
        <w:t>-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痰瘀痹阻证。中医鉴别诊断：本病当与“痉病”相鉴别，支持点：两者均表现为肢体疼痛不适症状；不支持点：痉证以项背强直、四肢抽搐，甚则口噤、角弓反张为主要表现，严重时可出现昏迷；患者无项背强直、四肢抽搐等，结论</w:t>
      </w:r>
      <w:r>
        <w:rPr>
          <w:rFonts w:ascii="宋体" w:eastAsia="宋体" w:cs="宋体" w:hAnsiTheme="minorHAnsi"/>
          <w:color w:val="000000"/>
          <w:sz w:val="24"/>
          <w:szCs w:val="24"/>
        </w:rPr>
        <w:t>: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可鉴别。西医诊断依据：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、患者老年男性，病程长，起病隐匿，既往我院明确诊断“类风湿关节炎”；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、既往有四肢多关节对称性肿痛，肿痛关节数＞</w:t>
      </w:r>
      <w:r>
        <w:rPr>
          <w:rFonts w:ascii="宋体" w:eastAsia="宋体" w:cs="宋体" w:hAnsiTheme="minorHAnsi"/>
          <w:color w:val="000000"/>
          <w:sz w:val="24"/>
          <w:szCs w:val="24"/>
        </w:rPr>
        <w:t>10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个，伴晨僵，查类风湿因子、</w:t>
      </w:r>
      <w:r>
        <w:rPr>
          <w:rFonts w:ascii="宋体" w:eastAsia="宋体" w:cs="宋体" w:hAnsiTheme="minorHAnsi"/>
          <w:color w:val="000000"/>
          <w:sz w:val="24"/>
          <w:szCs w:val="24"/>
        </w:rPr>
        <w:t>CCP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阳性。关节</w:t>
      </w:r>
      <w:r>
        <w:rPr>
          <w:rFonts w:ascii="宋体" w:eastAsia="宋体" w:cs="宋体" w:hAnsiTheme="minorHAnsi"/>
          <w:color w:val="000000"/>
          <w:sz w:val="24"/>
          <w:szCs w:val="24"/>
        </w:rPr>
        <w:t>MRI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提示右腕、右手环指及小指近侧指间关节周围滑膜炎，符合临床类风湿性关节炎改变。明确诊断为类风湿关节炎。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、既往有“慢性肾脏病（</w:t>
      </w:r>
      <w:r>
        <w:rPr>
          <w:rFonts w:ascii="宋体" w:eastAsia="宋体" w:cs="宋体" w:hAnsiTheme="minorHAnsi"/>
          <w:color w:val="000000"/>
          <w:sz w:val="24"/>
          <w:szCs w:val="24"/>
        </w:rPr>
        <w:t>CKD3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期）”、“糖耐量异常”、“主动脉硬化”、“腱鞘囊肿切除”病史。西医诊断：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、类风湿关节炎；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、双膝骨性关节炎；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、慢性肾脏病（</w:t>
      </w:r>
      <w:r>
        <w:rPr>
          <w:rFonts w:ascii="宋体" w:eastAsia="宋体" w:cs="宋体" w:hAnsiTheme="minorHAnsi"/>
          <w:color w:val="000000"/>
          <w:sz w:val="24"/>
          <w:szCs w:val="24"/>
        </w:rPr>
        <w:t>CKD3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期）；</w:t>
      </w:r>
      <w:r>
        <w:rPr>
          <w:rFonts w:ascii="宋体" w:eastAsia="宋体" w:cs="宋体" w:hAnsiTheme="minorHAnsi"/>
          <w:color w:val="000000"/>
          <w:sz w:val="24"/>
          <w:szCs w:val="24"/>
        </w:rPr>
        <w:t>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、糖耐量异常；</w:t>
      </w:r>
      <w:r>
        <w:rPr>
          <w:rFonts w:ascii="宋体" w:eastAsia="宋体" w:cs="宋体" w:hAnsiTheme="minorHAnsi"/>
          <w:color w:val="000000"/>
          <w:sz w:val="24"/>
          <w:szCs w:val="24"/>
        </w:rPr>
        <w:t>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、腱鞘囊肿切除术后；</w:t>
      </w:r>
      <w:r>
        <w:rPr>
          <w:rFonts w:ascii="宋体" w:eastAsia="宋体" w:cs="宋体" w:hAnsiTheme="minorHAnsi"/>
          <w:color w:val="000000"/>
          <w:sz w:val="24"/>
          <w:szCs w:val="24"/>
        </w:rPr>
        <w:t>6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、主动脉硬化；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7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、左股骨头坏死？。西医鉴别诊断：患者已明确诊断为类风湿关节炎，此次为评估病情及行托珠单抗治疗来诊，无需鉴别。健康宣教：告知患者烟草含有多种有害物质，远离吸烟人群，避免接触二手烟。治疗上：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、患者类风湿关节炎诊断明确，此次入院为评估病情及行托珠单抗治疗，结合相关抽血检查结果，可予今日行托珠单抗治疗，余治疗继续予甲泼尼龙片消炎止痛，维</w:t>
      </w:r>
      <w:r>
        <w:rPr>
          <w:rFonts w:ascii="宋体" w:eastAsia="宋体" w:cs="宋体" w:hAnsiTheme="minorHAnsi"/>
          <w:color w:val="000000"/>
          <w:sz w:val="24"/>
          <w:szCs w:val="24"/>
        </w:rPr>
        <w:t>D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钙咀嚼片补钙，阿法骨化醇软胶囊促进钙吸收。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、患者左髋关节疼痛，予查双髋关节</w:t>
      </w:r>
      <w:r>
        <w:rPr>
          <w:rFonts w:ascii="宋体" w:eastAsia="宋体" w:cs="宋体" w:hAnsiTheme="minorHAnsi"/>
          <w:color w:val="000000"/>
          <w:sz w:val="24"/>
          <w:szCs w:val="24"/>
        </w:rPr>
        <w:t>DR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，结果回报后再拟定下一步治疗方案，必要时请骨科会诊。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、慢性肾脏病，入院后查肌酐稍高，考虑与之相关，继续予金水宝片护肾治疗。</w:t>
      </w:r>
      <w:r>
        <w:rPr>
          <w:rFonts w:ascii="宋体" w:eastAsia="宋体" w:cs="宋体" w:hAnsiTheme="minorHAnsi"/>
          <w:color w:val="000000"/>
          <w:sz w:val="24"/>
          <w:szCs w:val="24"/>
        </w:rPr>
        <w:t>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中医治疗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：中医：外治予中药涂擦、雷火灸、穴位贴敷治疗、烫熨治疗以加强温经通络止痛；加予盘龙七片以祛风除湿，通络除痹及内服中药以祛湿除痹，益气健脾活血为法，方选蠲痹汤合六君子汤加减，方中秦艽、羌活、独活以祛风除湿；桑枝、海风藤以祛湿痛通络；茯苓、白术、当归、川芎、人参以益气活血和营；柴胡、木香以疏肝理气；肉桂少许以祛寒湿；乳香以活血止痛；半夏、陈皮理气化痰以除湿；甘草以调和诸药，拟方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茯苓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白术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12g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北柴胡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桑枝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当归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12g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川芎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醋乳香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木香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甘草片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羌活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秦艽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肉桂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独活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人参片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陈皮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法半夏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海风藤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15g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水煎服，日一剂，分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次饭后温服。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066061"/>
    <w:rsid w:val="000B0E89"/>
    <w:rsid w:val="000B4DE5"/>
    <w:rsid w:val="000E40C5"/>
    <w:rsid w:val="00224081"/>
    <w:rsid w:val="00255EF2"/>
    <w:rsid w:val="002C0F0F"/>
    <w:rsid w:val="00323B43"/>
    <w:rsid w:val="00392A4D"/>
    <w:rsid w:val="003C1F36"/>
    <w:rsid w:val="003D37D8"/>
    <w:rsid w:val="003E37B5"/>
    <w:rsid w:val="00426133"/>
    <w:rsid w:val="004358AB"/>
    <w:rsid w:val="00467C3D"/>
    <w:rsid w:val="004B5EC6"/>
    <w:rsid w:val="0063471A"/>
    <w:rsid w:val="00673BB5"/>
    <w:rsid w:val="0069440B"/>
    <w:rsid w:val="00711B54"/>
    <w:rsid w:val="00761ED5"/>
    <w:rsid w:val="0083490A"/>
    <w:rsid w:val="008420BB"/>
    <w:rsid w:val="00894EF7"/>
    <w:rsid w:val="008B7726"/>
    <w:rsid w:val="00AB20D9"/>
    <w:rsid w:val="00B13493"/>
    <w:rsid w:val="00B31B8C"/>
    <w:rsid w:val="00BC0518"/>
    <w:rsid w:val="00C46829"/>
    <w:rsid w:val="00CC225A"/>
    <w:rsid w:val="00D1603A"/>
    <w:rsid w:val="00D31D50"/>
    <w:rsid w:val="00F56A7C"/>
    <w:rsid w:val="00F77400"/>
    <w:rsid w:val="050E4E29"/>
    <w:rsid w:val="25F573E2"/>
    <w:rsid w:val="435E7F10"/>
    <w:rsid w:val="6D701FF5"/>
    <w:rsid w:val="6DFF6B19"/>
    <w:rsid w:val="6FED10B7"/>
    <w:rsid w:val="745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1517</Words>
  <Characters>1637</Characters>
  <Lines>471</Lines>
  <Paragraphs>132</Paragraphs>
  <TotalTime>0</TotalTime>
  <ScaleCrop>false</ScaleCrop>
  <LinksUpToDate>false</LinksUpToDate>
  <CharactersWithSpaces>1815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86178</dc:creator>
  <cp:lastModifiedBy>文档存本地丢失不负责</cp:lastModifiedBy>
  <dcterms:modified xsi:type="dcterms:W3CDTF">2022-07-01T03:14:33Z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C4EF76EBA59A4AE58CABCDF24ADA84C9</vt:lpwstr>
  </property>
</Properties>
</file>