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F61A" w14:textId="49D9B1B5" w:rsidR="000E3E14" w:rsidRPr="00CB3137" w:rsidRDefault="000E3E14" w:rsidP="000E3E14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CB3137">
        <w:rPr>
          <w:rFonts w:ascii="仿宋_GB2312" w:eastAsia="仿宋_GB2312" w:hint="eastAsia"/>
          <w:sz w:val="32"/>
          <w:szCs w:val="32"/>
        </w:rPr>
        <w:t>附件</w:t>
      </w:r>
      <w:r w:rsidR="005D0B43" w:rsidRPr="00CB3137">
        <w:rPr>
          <w:rFonts w:ascii="仿宋_GB2312" w:eastAsia="仿宋_GB2312" w:hint="eastAsia"/>
          <w:sz w:val="32"/>
          <w:szCs w:val="32"/>
        </w:rPr>
        <w:t>5</w:t>
      </w:r>
    </w:p>
    <w:p w14:paraId="122B19EA" w14:textId="77777777" w:rsidR="000E3E14" w:rsidRPr="00CB3137" w:rsidRDefault="000E3E14" w:rsidP="000E3E14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14:paraId="17FCD2AC" w14:textId="2A51E5BA" w:rsidR="000E1A7C" w:rsidRPr="00CB3137" w:rsidRDefault="000E1A7C" w:rsidP="000E1A7C">
      <w:pPr>
        <w:spacing w:line="520" w:lineRule="exact"/>
        <w:ind w:firstLineChars="300" w:firstLine="96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B3137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CB3137">
        <w:rPr>
          <w:rFonts w:ascii="仿宋_GB2312" w:eastAsia="仿宋_GB2312" w:hint="eastAsia"/>
          <w:kern w:val="0"/>
          <w:sz w:val="32"/>
          <w:szCs w:val="32"/>
        </w:rPr>
        <w:t>:</w:t>
      </w:r>
      <w:r w:rsidR="000029B8" w:rsidRPr="00CB31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5D0B43" w:rsidRPr="00CB31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咽喉手术器械包</w:t>
      </w:r>
    </w:p>
    <w:p w14:paraId="592ADD49" w14:textId="0FDB2E66" w:rsidR="000E1A7C" w:rsidRPr="00CB3137" w:rsidRDefault="000E1A7C" w:rsidP="000E1A7C">
      <w:pPr>
        <w:spacing w:line="52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CB3137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CB3137">
        <w:rPr>
          <w:rFonts w:ascii="仿宋_GB2312" w:eastAsia="仿宋_GB2312" w:hint="eastAsia"/>
          <w:sz w:val="32"/>
          <w:szCs w:val="32"/>
        </w:rPr>
        <w:t>：壹</w:t>
      </w:r>
      <w:r w:rsidR="005D0B43" w:rsidRPr="00CB3137">
        <w:rPr>
          <w:rFonts w:ascii="仿宋_GB2312" w:eastAsia="仿宋_GB2312" w:hint="eastAsia"/>
          <w:sz w:val="32"/>
          <w:szCs w:val="32"/>
        </w:rPr>
        <w:t>套</w:t>
      </w:r>
    </w:p>
    <w:p w14:paraId="5C781A53" w14:textId="77777777" w:rsidR="000E1A7C" w:rsidRPr="00CB3137" w:rsidRDefault="000E1A7C" w:rsidP="000E1A7C">
      <w:pPr>
        <w:spacing w:line="520" w:lineRule="exact"/>
        <w:ind w:firstLineChars="300" w:firstLine="960"/>
        <w:rPr>
          <w:rFonts w:ascii="仿宋_GB2312" w:eastAsia="仿宋_GB2312" w:hAnsi="黑体" w:hint="eastAsia"/>
          <w:sz w:val="32"/>
          <w:szCs w:val="32"/>
        </w:rPr>
      </w:pPr>
      <w:r w:rsidRPr="00CB3137">
        <w:rPr>
          <w:rFonts w:ascii="仿宋_GB2312" w:eastAsia="仿宋_GB2312" w:hAnsi="黑体" w:hint="eastAsia"/>
          <w:sz w:val="32"/>
          <w:szCs w:val="32"/>
        </w:rPr>
        <w:t>设备主要技术参数：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60"/>
        <w:gridCol w:w="1433"/>
        <w:gridCol w:w="1567"/>
        <w:gridCol w:w="645"/>
        <w:gridCol w:w="720"/>
        <w:gridCol w:w="4155"/>
      </w:tblGrid>
      <w:tr w:rsidR="00CB3137" w:rsidRPr="00CB3137" w14:paraId="7BD74314" w14:textId="77777777" w:rsidTr="00CB3137">
        <w:trPr>
          <w:trHeight w:val="30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A6E927" w14:textId="215652BD" w:rsidR="00CB3137" w:rsidRPr="00CB3137" w:rsidRDefault="00CB3137" w:rsidP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E31722" w14:textId="77777777" w:rsid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产品</w:t>
            </w:r>
          </w:p>
          <w:p w14:paraId="4D4B8204" w14:textId="64FB348A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9AA48E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规格型号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7BCEB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075B5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47D586" w14:textId="77777777" w:rsidR="00CB3137" w:rsidRPr="00CB3137" w:rsidRDefault="00CB3137" w:rsidP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参数</w:t>
            </w:r>
          </w:p>
        </w:tc>
      </w:tr>
      <w:tr w:rsidR="00CB3137" w:rsidRPr="00CB3137" w14:paraId="5811FC98" w14:textId="77777777" w:rsidTr="00CB3137">
        <w:trPr>
          <w:trHeight w:val="7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354876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298372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显微喉钳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EF1607" w14:textId="12D25A69" w:rsidR="00CB3137" w:rsidRPr="00CB3137" w:rsidRDefault="00CB3137" w:rsidP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圆口</w:t>
            </w:r>
            <w:r w:rsidRPr="00CB3137">
              <w:rPr>
                <w:rStyle w:val="font31"/>
                <w:rFonts w:ascii="仿宋_GB2312" w:eastAsia="仿宋_GB2312"/>
                <w:sz w:val="32"/>
                <w:szCs w:val="32"/>
                <w:lang w:bidi="ar"/>
              </w:rPr>
              <w:t>0°2.0mm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2CDCAB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1A4298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799D15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1、显微喉钳所用与患者接触部分的金属材料采用医用不锈钢材料制造，该材料化学成分符合YY/T 0294.1-2016标准的要求。</w:t>
            </w:r>
          </w:p>
          <w:p w14:paraId="6F8C0821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2、钳头经热处理，其硬度为48HRC-52HRC。</w:t>
            </w:r>
          </w:p>
          <w:p w14:paraId="6A20C5E2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3、模仿手术动作时，头部开、闭应顺畅，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无卡滞现象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。</w:t>
            </w:r>
          </w:p>
          <w:p w14:paraId="06545E86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4、钳头刃口应清晰、完整、无断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刃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现象，闭合上下二片刃口应对齐，不得有偏移或张口现象，咬合时能轻松咬下硅胶管。</w:t>
            </w:r>
          </w:p>
          <w:p w14:paraId="6DBAF1F9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5、器械外表面光滑，杆部平直，不得有锋棱、毛刺及明显的碰伤和划痕，其表面粗糙度Ra之值为：头部不大于0.8μm，杆部不大于1.6μm。</w:t>
            </w:r>
          </w:p>
          <w:p w14:paraId="37E1DF9C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6、连接部位应牢固、平整，销钉无露白现象。</w:t>
            </w:r>
          </w:p>
          <w:p w14:paraId="6F4C2AC7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7、在常规条件下消毒，不得产生腐蚀现象。符合YY/T 0149-2006中沸水试验法b级要求。</w:t>
            </w:r>
          </w:p>
        </w:tc>
      </w:tr>
      <w:tr w:rsidR="00CB3137" w:rsidRPr="00CB3137" w14:paraId="381976DD" w14:textId="77777777" w:rsidTr="00CB3137">
        <w:trPr>
          <w:trHeight w:val="7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142710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B7478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显微喉钳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49C4AC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圆口 </w:t>
            </w:r>
            <w:r w:rsidRPr="00CB3137">
              <w:rPr>
                <w:rStyle w:val="font31"/>
                <w:rFonts w:ascii="仿宋_GB2312" w:eastAsia="仿宋_GB2312"/>
                <w:sz w:val="32"/>
                <w:szCs w:val="32"/>
                <w:lang w:bidi="ar"/>
              </w:rPr>
              <w:t xml:space="preserve"> 45° 2.0mm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0AD36D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5DC760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925B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22389257" w14:textId="77777777" w:rsidTr="00CB3137">
        <w:trPr>
          <w:trHeight w:val="8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F1D2E7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34C0DC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显微喉钳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BDF183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圆口 </w:t>
            </w:r>
            <w:r w:rsidRPr="00CB3137">
              <w:rPr>
                <w:rStyle w:val="font31"/>
                <w:rFonts w:ascii="仿宋_GB2312" w:eastAsia="仿宋_GB2312"/>
                <w:sz w:val="32"/>
                <w:szCs w:val="32"/>
                <w:lang w:bidi="ar"/>
              </w:rPr>
              <w:t xml:space="preserve"> 0°  3.5mm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E6D1F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1173A7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AABA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21A2EA81" w14:textId="77777777" w:rsidTr="00CB3137">
        <w:trPr>
          <w:trHeight w:val="8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2D53D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CB89DB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显微喉钳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FC9D3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圆口 </w:t>
            </w:r>
            <w:r w:rsidRPr="00CB3137">
              <w:rPr>
                <w:rStyle w:val="font31"/>
                <w:rFonts w:ascii="仿宋_GB2312" w:eastAsia="仿宋_GB2312"/>
                <w:sz w:val="32"/>
                <w:szCs w:val="32"/>
                <w:lang w:bidi="ar"/>
              </w:rPr>
              <w:t xml:space="preserve"> 45° 3.5mm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27B47A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4364F7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3DDB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300D7D37" w14:textId="77777777" w:rsidTr="00CB3137">
        <w:trPr>
          <w:trHeight w:val="101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B189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BAA4B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显微喉钳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D104D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三角 </w:t>
            </w:r>
            <w:r w:rsidRPr="00CB3137">
              <w:rPr>
                <w:rStyle w:val="font31"/>
                <w:rFonts w:ascii="仿宋_GB2312" w:eastAsia="仿宋_GB2312"/>
                <w:sz w:val="32"/>
                <w:szCs w:val="32"/>
                <w:lang w:bidi="ar"/>
              </w:rPr>
              <w:t xml:space="preserve"> 45°2.2mm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B31122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A5103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8656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45F30FB5" w14:textId="77777777" w:rsidTr="00CB3137">
        <w:trPr>
          <w:trHeight w:val="21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97702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A73AE8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显微喉剪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89C523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左弯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5CC2CE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AA32AC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66E885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显微喉剪所用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与患者接触部分的金属材料采用医用不锈钢材料制造，该材料化学成分符合YY/T 0294.1-2016标准的要求。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2、钳头经热处理，其硬度为48HRC-52HRC。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3、模仿手术动作时，头部开、闭应顺畅，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无卡滞现象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4、刃口应清晰、完整、无断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刃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现象，闭合上下二片刃口应对齐，不得有偏移或张口现象，咬合时能轻松咬下硅胶管。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5、器械外表面光滑，杆部平直，不得有锋棱、毛刺及明显的碰伤和划痕，其表面粗糙度Ra之值为：头部不大于0.8μm，杆部不大于1.6μm。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6、连接部位应牢固、平整，销钉无露白现象。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7、在常规条件下消毒，不得产生腐蚀现象。符合YY/T 0149-2006中沸水试验法b级要求。</w:t>
            </w:r>
          </w:p>
        </w:tc>
      </w:tr>
      <w:tr w:rsidR="00CB3137" w:rsidRPr="00CB3137" w14:paraId="65444ACB" w14:textId="77777777" w:rsidTr="00CB3137">
        <w:trPr>
          <w:trHeight w:val="19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AE60FB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CB48EF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显微喉剪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7F8B2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右弯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09B89A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FB9B39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CB26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B3137" w:rsidRPr="00CB3137" w14:paraId="4DA553C1" w14:textId="77777777" w:rsidTr="00CB3137">
        <w:trPr>
          <w:trHeight w:val="9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F62D5C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36CD36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显微喉刀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7F512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镰状刀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58C1A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09C29D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7BDB9F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显微喉刀所用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与患者接触部分的金属材料采用医用不锈钢材料制造，该材料化学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成分符合YY/T 0294.1-2016标准的要求。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2、器械经热处理，其硬度为48HRC-52HRC。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3、刀头应锋利。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4、刀刃应清晰、完整、无卷刃、崩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刃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现象。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5、器械外表面光滑，杆部平直，不得有锋棱、毛刺及明显的碰伤和划痕。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6、在常规条件下消毒，不得产生腐蚀现象。符合YY/T 0149-2006中沸水试验法b级要求。</w:t>
            </w:r>
          </w:p>
        </w:tc>
      </w:tr>
      <w:tr w:rsidR="00CB3137" w:rsidRPr="00CB3137" w14:paraId="4DC330CE" w14:textId="77777777" w:rsidTr="00CB3137">
        <w:trPr>
          <w:trHeight w:val="12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8AE9A7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32A401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显微喉刀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00B372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9.0mm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F0E9AA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410303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6547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229CA7D1" w14:textId="77777777" w:rsidTr="00CB3137">
        <w:trPr>
          <w:trHeight w:val="9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342AC6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59C2E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显微喉刀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E8F4BB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三角尖头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18D2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906470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E5AB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6C213FE6" w14:textId="77777777" w:rsidTr="00CB3137">
        <w:trPr>
          <w:trHeight w:val="113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EB678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0B069D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刀柄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6465FB" w14:textId="77777777" w:rsidR="00CB3137" w:rsidRPr="00CB3137" w:rsidRDefault="00CB313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A93270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00CDDF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E6E664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1、刀柄所用与患者接触部分的金属材料采用医用不锈钢材料制造，该材料化学成分符合YY/T 0294.1-2016标准的要求。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2、器械外表面光滑，杆部平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直，不得有锋棱、毛刺及明显的碰伤和划痕。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3、在常规条件下消毒，不得产生腐蚀现象。符合YY/T 0149-2006中沸水试验法b级要求。</w:t>
            </w:r>
          </w:p>
        </w:tc>
      </w:tr>
      <w:tr w:rsidR="00CB3137" w:rsidRPr="00CB3137" w14:paraId="13DF9552" w14:textId="77777777" w:rsidTr="00CB3137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9D55E3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F4BE8D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吸引管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AD343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φ2.5×230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B8C619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475AF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73BB27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1、合YY/T 0294.1-2016标准的要求。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2、吸引管管腔道应通畅。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3、器械外表面光滑，杆部平直，不得有锋棱、毛刺及明显的碰伤和划痕，其表面粗糙度Ra之值为：不大于1.6μm。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4、连接部位应牢固、平整。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5、在常规条件下消毒，不得产生腐蚀现象。符合YY/T 0149-2006中沸水试验法b级要求。</w:t>
            </w:r>
          </w:p>
        </w:tc>
      </w:tr>
      <w:tr w:rsidR="00CB3137" w:rsidRPr="00CB3137" w14:paraId="7122DC78" w14:textId="77777777" w:rsidTr="00CB3137">
        <w:trPr>
          <w:trHeight w:val="6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702F9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DDEA81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吸引管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EB51C6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φ3×230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ACCD7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52C1A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B9D00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4E5F28D9" w14:textId="77777777" w:rsidTr="00CB3137">
        <w:trPr>
          <w:trHeight w:val="6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70CEC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B93A0D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吸引管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52E8C1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φ2.5×230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B7F333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F9E97B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FA90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03C6D9D5" w14:textId="77777777" w:rsidTr="00CB3137">
        <w:trPr>
          <w:trHeight w:val="6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AEF210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89127F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pacing w:val="-2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吸引管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E1BBC8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φ3×230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EDB53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4D8C0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16685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08792FAE" w14:textId="77777777" w:rsidTr="00CB3137">
        <w:trPr>
          <w:trHeight w:val="19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9F67DD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607EEC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支撑架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9C7670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涡轮式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786673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FF39B8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562FEB" w14:textId="689B8766" w:rsidR="00CB3137" w:rsidRPr="00CB3137" w:rsidRDefault="00CB3137" w:rsidP="00831BF3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1、支撑架所用与患者接触部分的金属材料采用医用不锈钢材料制造，2、钳头经热处理，其硬度为48HRC-52HRC。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2、器械外表面光滑，杆部平直，不得有锋棱、毛刺及明显的碰伤和划痕，其表面粗糙度Ra之值为：头部不大于0.8μm，杆部不大于1.6μm。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3、连接部位应牢固、平整，销钉无露白现象。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4、在常规条件下消毒，不得产生腐蚀现象。符合YY/T 0149-2006中沸水试验法b级要求。</w:t>
            </w:r>
          </w:p>
        </w:tc>
      </w:tr>
      <w:tr w:rsidR="00CB3137" w:rsidRPr="00CB3137" w14:paraId="1759DB59" w14:textId="77777777" w:rsidTr="00CB3137">
        <w:trPr>
          <w:trHeight w:val="14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26C981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0D228B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窥视管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AD503D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大号 配内窥镜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EC1FAF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88493A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2AD411" w14:textId="77777777" w:rsid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、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产品采用医用不锈钢材料制作的，材料化学成分符合YY/T 0294.1-2016标准的要求；手柄采用铝合金制造，该材料化学成分符合GB/T</w:t>
            </w:r>
          </w:p>
          <w:p w14:paraId="0B6E08F2" w14:textId="2E1679FA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-3191-2010标准得要求。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2、各连接部位应牢固可靠，焊缝应平整光滑，无脱焊、堆焊、裂缝现象。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3、外表面应光滑，杆部应平直，不得有锋棱、毛刺及明显的碰伤和划痕。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4、在常规条件下消毒，不得产生腐蚀现象。符合YY/T 0149-2006中沸水试验法b级要求。</w:t>
            </w:r>
          </w:p>
        </w:tc>
      </w:tr>
      <w:tr w:rsidR="00CB3137" w:rsidRPr="00CB3137" w14:paraId="4AE4D607" w14:textId="77777777" w:rsidTr="00CB3137">
        <w:trPr>
          <w:trHeight w:val="15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4097FB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13704B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窥视管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2A5D48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小号 带内窥镜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498186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FAE0F3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9A00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CB3137" w:rsidRPr="00CB3137" w14:paraId="6C057324" w14:textId="77777777" w:rsidTr="00CB3137">
        <w:trPr>
          <w:trHeight w:val="19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F3B730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C794CF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喉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内窥镜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F4A468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0°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541A53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82B53F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701C95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1、喉镜所用与患者接触部分的金属材料采用医用不锈钢材料制造，2、 钳头经热处理，其硬度为48HRC-52HRC。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2、器械外表面光滑，杆部平直，不得有锋棱、毛刺及明显的碰伤和划痕，其表面粗糙度Ra之值为：头部不大于0.8μm，杆部不大于1.6μm。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3、连接部位应牢固、平整，销钉无露白现象。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>4、在常规条件下消毒，不得产生腐蚀现象。符合YY/T 0149-2006中沸水试验法b级要求。</w:t>
            </w:r>
          </w:p>
        </w:tc>
      </w:tr>
      <w:tr w:rsidR="00CB3137" w:rsidRPr="00CB3137" w14:paraId="1D943AA9" w14:textId="77777777" w:rsidTr="00CB3137">
        <w:trPr>
          <w:trHeight w:val="19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F2550" w14:textId="77777777" w:rsidR="00CB3137" w:rsidRPr="00CB3137" w:rsidRDefault="00CB313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743DB" w14:textId="77777777" w:rsidR="00CB3137" w:rsidRPr="00CB3137" w:rsidRDefault="00CB313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扁桃体拉钩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003627" w14:textId="77777777" w:rsidR="00CB3137" w:rsidRPr="00CB3137" w:rsidRDefault="00CB313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双头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A3029" w14:textId="77777777" w:rsidR="00CB3137" w:rsidRPr="00CB3137" w:rsidRDefault="00CB313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6855C" w14:textId="77777777" w:rsidR="00CB3137" w:rsidRPr="00CB3137" w:rsidRDefault="00CB313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70CFD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1、扁桃体拉钩由头部、杆部和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柄部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组成，采用不锈钢材料制成，非无菌提供。主要用于手术时刮除组织、皮肤赘生物、异物，可重复使用。</w:t>
            </w:r>
          </w:p>
          <w:p w14:paraId="2A7A1569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2、显微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喉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剥离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子采用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YY/T 0294.1-2016 中代号为 B或C的不锈钢制造。</w:t>
            </w:r>
          </w:p>
          <w:p w14:paraId="28942C45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3、头部应经热处理,B号材料硬度为HRC40～48,C号材料硬度为HRC47～53。</w:t>
            </w:r>
          </w:p>
          <w:p w14:paraId="577325B6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4、刃口应锋利,在A4纸上轻轻刮擦时,A4纸能起毛,但不会刮破。</w:t>
            </w:r>
          </w:p>
          <w:p w14:paraId="777A9E5E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5、</w:t>
            </w:r>
            <w:r w:rsidRPr="00831BF3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柄</w:t>
            </w:r>
            <w:proofErr w:type="gramStart"/>
            <w:r w:rsidRPr="00831BF3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部水平</w:t>
            </w:r>
            <w:proofErr w:type="gramEnd"/>
            <w:r w:rsidRPr="00831BF3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固定,头部承受5N重物时其变形量(挠度)不大于2mm,卸载后能恢复原位。</w:t>
            </w:r>
          </w:p>
          <w:p w14:paraId="361A6187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6、显微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喉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剥离子刃口应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完整,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无崩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刃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现象;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柄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部直纹清晰;表面应光滑、无锋棱、无毛刺、无裂痕和碰伤。</w:t>
            </w:r>
          </w:p>
          <w:p w14:paraId="2D1C48BE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7、显微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喉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剥离子头部和杆部有光亮Ra≤0.4μm,柄部无光亮Ra≤1.6μm。</w:t>
            </w:r>
          </w:p>
          <w:p w14:paraId="311F6C8D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8、显微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喉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剥离子耐腐蚀性应满足YY/T 0149-2006中5.4b的要求。</w:t>
            </w:r>
          </w:p>
        </w:tc>
      </w:tr>
      <w:tr w:rsidR="00CB3137" w:rsidRPr="00CB3137" w14:paraId="3378D936" w14:textId="77777777" w:rsidTr="00CB3137">
        <w:trPr>
          <w:trHeight w:val="19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9B2C47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E7331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耳鼻</w:t>
            </w:r>
            <w:proofErr w:type="gramStart"/>
            <w:r w:rsidRPr="00CB3137">
              <w:rPr>
                <w:rFonts w:ascii="仿宋_GB2312" w:eastAsia="仿宋_GB2312" w:hint="eastAsia"/>
                <w:sz w:val="32"/>
                <w:szCs w:val="32"/>
              </w:rPr>
              <w:t>喉</w:t>
            </w:r>
            <w:proofErr w:type="gramEnd"/>
            <w:r w:rsidRPr="00CB3137">
              <w:rPr>
                <w:rFonts w:ascii="仿宋_GB2312" w:eastAsia="仿宋_GB2312" w:hint="eastAsia"/>
                <w:sz w:val="32"/>
                <w:szCs w:val="32"/>
              </w:rPr>
              <w:t>用开口器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5147A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成人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F3A67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05017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D77EC" w14:textId="687D1FCA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1、耳鼻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喉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用开口器所用与患者接触部分的金属材料采用医用不锈钢材料制造，该材料化学成分符合YY/T </w:t>
            </w:r>
            <w:r w:rsidRPr="00831BF3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>0294.1</w:t>
            </w:r>
            <w:r w:rsidR="00831BF3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  <w:lang w:bidi="ar"/>
              </w:rPr>
              <w:t xml:space="preserve"> 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-2016标准的要求。</w:t>
            </w:r>
          </w:p>
          <w:p w14:paraId="3FFE4C10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2、钩板、锁扣、上护齿片经热处理，其硬度为</w:t>
            </w: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48HRC-52HRC。</w:t>
            </w:r>
          </w:p>
          <w:p w14:paraId="19B8C58D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3、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钩板上下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调节时应顺畅，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无卡滞现象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。</w:t>
            </w:r>
          </w:p>
          <w:p w14:paraId="607F6D7D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4、器械外表面光滑，杆部平直，不得有锋棱、毛刺及明显的碰伤和划痕。</w:t>
            </w:r>
          </w:p>
          <w:p w14:paraId="13984841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5、表面粗糙度为：</w:t>
            </w:r>
            <w:proofErr w:type="gramStart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钩板和</w:t>
            </w:r>
            <w:proofErr w:type="gramEnd"/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上护齿片不大于0.8μm，其余部位不大于1.6μm。</w:t>
            </w:r>
          </w:p>
          <w:p w14:paraId="5418920B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6、连接部位应牢固、平整，无松动和表面堆积物。</w:t>
            </w:r>
          </w:p>
          <w:p w14:paraId="4DA7A52F" w14:textId="77777777" w:rsidR="00CB3137" w:rsidRPr="00CB3137" w:rsidRDefault="00CB3137" w:rsidP="00CB3137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7、在常规条件下消毒，不得产生腐蚀现象。符合YY/T 0149-2006中沸水试验法b级要求。</w:t>
            </w:r>
          </w:p>
        </w:tc>
      </w:tr>
      <w:tr w:rsidR="00CB3137" w:rsidRPr="00CB3137" w14:paraId="25D852B3" w14:textId="77777777" w:rsidTr="00CB3137">
        <w:trPr>
          <w:trHeight w:val="19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1BDFD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276CB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耳鼻</w:t>
            </w:r>
            <w:proofErr w:type="gramStart"/>
            <w:r w:rsidRPr="00CB3137">
              <w:rPr>
                <w:rFonts w:ascii="仿宋_GB2312" w:eastAsia="仿宋_GB2312" w:hint="eastAsia"/>
                <w:sz w:val="32"/>
                <w:szCs w:val="32"/>
              </w:rPr>
              <w:t>喉</w:t>
            </w:r>
            <w:proofErr w:type="gramEnd"/>
            <w:r w:rsidRPr="00CB3137">
              <w:rPr>
                <w:rFonts w:ascii="仿宋_GB2312" w:eastAsia="仿宋_GB2312" w:hint="eastAsia"/>
                <w:sz w:val="32"/>
                <w:szCs w:val="32"/>
              </w:rPr>
              <w:t>用开口器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F11CFA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儿童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15686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112E5" w14:textId="77777777" w:rsidR="00CB3137" w:rsidRPr="00CB3137" w:rsidRDefault="00CB313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313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A839" w14:textId="77777777" w:rsidR="00CB3137" w:rsidRPr="00CB3137" w:rsidRDefault="00CB3137" w:rsidP="00CB313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B3137" w:rsidRPr="00CB3137" w14:paraId="38D84F97" w14:textId="77777777" w:rsidTr="00CB3137">
        <w:trPr>
          <w:trHeight w:val="20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E9552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746E8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消毒盒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6F02C5" w14:textId="77777777" w:rsidR="00CB3137" w:rsidRPr="00CB3137" w:rsidRDefault="00CB313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C9F7C4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32D685" w14:textId="77777777" w:rsidR="00CB3137" w:rsidRPr="00CB3137" w:rsidRDefault="00CB313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CB313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C8E9F" w14:textId="77777777" w:rsidR="00CB3137" w:rsidRPr="00CB3137" w:rsidRDefault="00CB3137" w:rsidP="00CB3137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6E39EBA4" w14:textId="77777777" w:rsidR="00C82516" w:rsidRPr="00CB3137" w:rsidRDefault="00C82516" w:rsidP="00CB3137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bookmarkStart w:id="0" w:name="_GoBack"/>
      <w:bookmarkEnd w:id="0"/>
    </w:p>
    <w:sectPr w:rsidR="00C82516" w:rsidRPr="00CB3137" w:rsidSect="00E23592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7AE7" w14:textId="77777777" w:rsidR="003B1F91" w:rsidRDefault="003B1F91" w:rsidP="0043215F">
      <w:r>
        <w:separator/>
      </w:r>
    </w:p>
  </w:endnote>
  <w:endnote w:type="continuationSeparator" w:id="0">
    <w:p w14:paraId="2E64F794" w14:textId="77777777" w:rsidR="003B1F91" w:rsidRDefault="003B1F91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16D1" w14:textId="77777777" w:rsidR="00D873CF" w:rsidRDefault="00DE4761" w:rsidP="006059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BF3" w:rsidRPr="00831BF3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5C95C" w14:textId="77777777" w:rsidR="003B1F91" w:rsidRDefault="003B1F91" w:rsidP="0043215F">
      <w:r>
        <w:separator/>
      </w:r>
    </w:p>
  </w:footnote>
  <w:footnote w:type="continuationSeparator" w:id="0">
    <w:p w14:paraId="2C2C3B17" w14:textId="77777777" w:rsidR="003B1F91" w:rsidRDefault="003B1F91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A"/>
    <w:rsid w:val="000029B8"/>
    <w:rsid w:val="0000497C"/>
    <w:rsid w:val="00007857"/>
    <w:rsid w:val="0001671A"/>
    <w:rsid w:val="000204B3"/>
    <w:rsid w:val="00021CB5"/>
    <w:rsid w:val="00027A3F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3713B6"/>
    <w:rsid w:val="00373916"/>
    <w:rsid w:val="00373DB5"/>
    <w:rsid w:val="003A5AF6"/>
    <w:rsid w:val="003B1F91"/>
    <w:rsid w:val="003B4C5D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506D3B"/>
    <w:rsid w:val="00543C01"/>
    <w:rsid w:val="005453C1"/>
    <w:rsid w:val="005619B4"/>
    <w:rsid w:val="005803B9"/>
    <w:rsid w:val="005D0B43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96F13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31BF3"/>
    <w:rsid w:val="00850ED0"/>
    <w:rsid w:val="00863567"/>
    <w:rsid w:val="008757C0"/>
    <w:rsid w:val="008B474B"/>
    <w:rsid w:val="008C3B84"/>
    <w:rsid w:val="008E73CE"/>
    <w:rsid w:val="00906086"/>
    <w:rsid w:val="00910481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B1779"/>
    <w:rsid w:val="00AD136D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653F3"/>
    <w:rsid w:val="00C82516"/>
    <w:rsid w:val="00C97D38"/>
    <w:rsid w:val="00CB3137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D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  <w:style w:type="character" w:customStyle="1" w:styleId="font31">
    <w:name w:val="font31"/>
    <w:basedOn w:val="a0"/>
    <w:rsid w:val="00CB313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  <w:style w:type="character" w:customStyle="1" w:styleId="font31">
    <w:name w:val="font31"/>
    <w:basedOn w:val="a0"/>
    <w:rsid w:val="00CB313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4</cp:revision>
  <cp:lastPrinted>2020-10-16T03:23:00Z</cp:lastPrinted>
  <dcterms:created xsi:type="dcterms:W3CDTF">2022-09-01T04:08:00Z</dcterms:created>
  <dcterms:modified xsi:type="dcterms:W3CDTF">2022-09-01T07:28:00Z</dcterms:modified>
</cp:coreProperties>
</file>