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1F61A" w14:textId="549C28CB" w:rsidR="000E3E14" w:rsidRDefault="000E3E14" w:rsidP="000E3E14">
      <w:pPr>
        <w:spacing w:line="520" w:lineRule="exact"/>
        <w:rPr>
          <w:rFonts w:ascii="仿宋_GB2312" w:eastAsia="仿宋_GB2312"/>
          <w:sz w:val="32"/>
          <w:szCs w:val="32"/>
        </w:rPr>
      </w:pPr>
      <w:r>
        <w:rPr>
          <w:rFonts w:ascii="仿宋_GB2312" w:eastAsia="仿宋_GB2312" w:hint="eastAsia"/>
          <w:sz w:val="32"/>
          <w:szCs w:val="32"/>
        </w:rPr>
        <w:t>附件</w:t>
      </w:r>
      <w:r w:rsidR="006D419B">
        <w:rPr>
          <w:rFonts w:ascii="仿宋_GB2312" w:eastAsia="仿宋_GB2312"/>
          <w:sz w:val="32"/>
          <w:szCs w:val="32"/>
        </w:rPr>
        <w:t>3</w:t>
      </w:r>
    </w:p>
    <w:p w14:paraId="122B19EA" w14:textId="77777777" w:rsidR="000E3E14" w:rsidRDefault="000E3E14" w:rsidP="000E3E14">
      <w:pPr>
        <w:spacing w:line="520" w:lineRule="exact"/>
        <w:rPr>
          <w:rFonts w:ascii="仿宋_GB2312" w:eastAsia="仿宋_GB2312"/>
          <w:sz w:val="32"/>
          <w:szCs w:val="32"/>
        </w:rPr>
      </w:pPr>
    </w:p>
    <w:p w14:paraId="17FCD2AC" w14:textId="55ABC6D0" w:rsidR="000E1A7C" w:rsidRPr="000E3E14" w:rsidRDefault="000E1A7C" w:rsidP="000E1A7C">
      <w:pPr>
        <w:spacing w:line="520" w:lineRule="exact"/>
        <w:ind w:firstLineChars="300" w:firstLine="960"/>
        <w:rPr>
          <w:rFonts w:ascii="仿宋_GB2312" w:eastAsia="仿宋_GB2312" w:hAnsi="宋体" w:cs="宋体"/>
          <w:kern w:val="0"/>
          <w:sz w:val="32"/>
          <w:szCs w:val="32"/>
        </w:rPr>
      </w:pPr>
      <w:r w:rsidRPr="000E3E14">
        <w:rPr>
          <w:rFonts w:ascii="仿宋_GB2312" w:eastAsia="仿宋_GB2312" w:hAnsi="宋体" w:cs="宋体" w:hint="eastAsia"/>
          <w:kern w:val="0"/>
          <w:sz w:val="32"/>
          <w:szCs w:val="32"/>
        </w:rPr>
        <w:t>设备名称</w:t>
      </w:r>
      <w:r w:rsidRPr="000E3E14">
        <w:rPr>
          <w:rFonts w:ascii="仿宋_GB2312" w:eastAsia="仿宋_GB2312" w:hint="eastAsia"/>
          <w:kern w:val="0"/>
          <w:sz w:val="32"/>
          <w:szCs w:val="32"/>
        </w:rPr>
        <w:t xml:space="preserve">: </w:t>
      </w:r>
      <w:r w:rsidR="006D419B" w:rsidRPr="006D419B">
        <w:rPr>
          <w:rFonts w:ascii="仿宋_GB2312" w:eastAsia="仿宋_GB2312" w:hint="eastAsia"/>
          <w:kern w:val="0"/>
          <w:sz w:val="32"/>
          <w:szCs w:val="32"/>
        </w:rPr>
        <w:t>近红外脑功能成像设备</w:t>
      </w:r>
    </w:p>
    <w:p w14:paraId="592ADD49" w14:textId="7A4D7862" w:rsidR="000E1A7C" w:rsidRPr="000E3E14" w:rsidRDefault="000E1A7C" w:rsidP="000E1A7C">
      <w:pPr>
        <w:spacing w:line="520" w:lineRule="exact"/>
        <w:ind w:firstLineChars="300" w:firstLine="960"/>
        <w:rPr>
          <w:rFonts w:ascii="仿宋_GB2312" w:eastAsia="仿宋_GB2312" w:hint="eastAsia"/>
          <w:sz w:val="32"/>
          <w:szCs w:val="32"/>
        </w:rPr>
      </w:pPr>
      <w:r w:rsidRPr="000E3E14">
        <w:rPr>
          <w:rFonts w:ascii="仿宋_GB2312" w:eastAsia="仿宋_GB2312" w:hAnsi="宋体" w:cs="宋体" w:hint="eastAsia"/>
          <w:kern w:val="0"/>
          <w:sz w:val="32"/>
          <w:szCs w:val="32"/>
        </w:rPr>
        <w:t>数量</w:t>
      </w:r>
      <w:r w:rsidRPr="000E3E14">
        <w:rPr>
          <w:rFonts w:ascii="仿宋_GB2312" w:eastAsia="仿宋_GB2312" w:hint="eastAsia"/>
          <w:sz w:val="32"/>
          <w:szCs w:val="32"/>
        </w:rPr>
        <w:t>：</w:t>
      </w:r>
      <w:r w:rsidR="006D419B">
        <w:rPr>
          <w:rFonts w:ascii="仿宋_GB2312" w:eastAsia="仿宋_GB2312" w:hint="eastAsia"/>
          <w:sz w:val="32"/>
          <w:szCs w:val="32"/>
        </w:rPr>
        <w:t>壹</w:t>
      </w:r>
      <w:r w:rsidR="007703C6">
        <w:rPr>
          <w:rFonts w:ascii="仿宋_GB2312" w:eastAsia="仿宋_GB2312" w:hint="eastAsia"/>
          <w:sz w:val="32"/>
          <w:szCs w:val="32"/>
        </w:rPr>
        <w:t>台</w:t>
      </w:r>
    </w:p>
    <w:p w14:paraId="5C781A53" w14:textId="77777777" w:rsidR="000E1A7C" w:rsidRPr="000E3E14" w:rsidRDefault="000E1A7C" w:rsidP="000E1A7C">
      <w:pPr>
        <w:spacing w:line="520" w:lineRule="exact"/>
        <w:ind w:firstLineChars="300" w:firstLine="960"/>
        <w:rPr>
          <w:rFonts w:ascii="仿宋_GB2312" w:eastAsia="仿宋_GB2312" w:hAnsi="黑体"/>
          <w:sz w:val="32"/>
          <w:szCs w:val="32"/>
        </w:rPr>
      </w:pPr>
      <w:r w:rsidRPr="000E3E14">
        <w:rPr>
          <w:rFonts w:ascii="仿宋_GB2312" w:eastAsia="仿宋_GB2312" w:hAnsi="黑体" w:hint="eastAsia"/>
          <w:sz w:val="32"/>
          <w:szCs w:val="32"/>
        </w:rPr>
        <w:t>设备主要技术参数</w:t>
      </w:r>
      <w:r>
        <w:rPr>
          <w:rFonts w:ascii="仿宋_GB2312" w:eastAsia="仿宋_GB2312" w:hAnsi="黑体" w:hint="eastAsia"/>
          <w:sz w:val="32"/>
          <w:szCs w:val="32"/>
        </w:rPr>
        <w:t>：</w:t>
      </w:r>
    </w:p>
    <w:p w14:paraId="2B5B921A" w14:textId="659121AB"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1.</w:t>
      </w:r>
      <w:r w:rsidRPr="00E1443B">
        <w:rPr>
          <w:rFonts w:ascii="仿宋_GB2312" w:eastAsia="仿宋_GB2312" w:hint="eastAsia"/>
          <w:sz w:val="32"/>
          <w:szCs w:val="32"/>
        </w:rPr>
        <w:tab/>
        <w:t>适用范围：采用三波长近红外光照射生理机体表面，通过光吸收量变化，从而对大脑皮质表面区域血液中的氧化、还原血红蛋白的浓度变化进行多点测量，可获得血液量变化的分布、脑的代谢以及循环状态的图谱图像，同时该图谱图像可与MRI图像融合，通过动态图像显示脑活化状态数据；</w:t>
      </w:r>
    </w:p>
    <w:p w14:paraId="7300B487"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2.</w:t>
      </w:r>
      <w:r w:rsidRPr="00E1443B">
        <w:rPr>
          <w:rFonts w:ascii="仿宋_GB2312" w:eastAsia="仿宋_GB2312" w:hint="eastAsia"/>
          <w:sz w:val="32"/>
          <w:szCs w:val="32"/>
        </w:rPr>
        <w:tab/>
        <w:t>安全性好、抗电磁干扰能力强，满足电气安全（耐压、漏电流、接地电阻）和电磁兼容（脉冲群、浪涌）标准,提供医疗器械检验机构出具的、并在药监局备案的技术要求或检验报告的封面页及对应页；</w:t>
      </w:r>
    </w:p>
    <w:p w14:paraId="7D1A8B03"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3.</w:t>
      </w:r>
      <w:r w:rsidRPr="00E1443B">
        <w:rPr>
          <w:rFonts w:ascii="仿宋_GB2312" w:eastAsia="仿宋_GB2312" w:hint="eastAsia"/>
          <w:sz w:val="32"/>
          <w:szCs w:val="32"/>
        </w:rPr>
        <w:tab/>
        <w:t>▲主机功耗：不高于100VA，节能，并且噪声小，对患者无干扰,提供医疗器械检验机构出具的、并在药监局备案的技术要求或检验报告的封面页及对应页;</w:t>
      </w:r>
    </w:p>
    <w:p w14:paraId="7E53E88C"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4.</w:t>
      </w:r>
      <w:r w:rsidRPr="00E1443B">
        <w:rPr>
          <w:rFonts w:ascii="仿宋_GB2312" w:eastAsia="仿宋_GB2312" w:hint="eastAsia"/>
          <w:sz w:val="32"/>
          <w:szCs w:val="32"/>
        </w:rPr>
        <w:tab/>
        <w:t>▲发射探头：≥24（单主机，非级联）,提供医疗器械检验机构出具的、并在药监局备案的技术要求或检验报告的封面页及对应页；</w:t>
      </w:r>
    </w:p>
    <w:p w14:paraId="740D49CD"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5.</w:t>
      </w:r>
      <w:r w:rsidRPr="00E1443B">
        <w:rPr>
          <w:rFonts w:ascii="仿宋_GB2312" w:eastAsia="仿宋_GB2312" w:hint="eastAsia"/>
          <w:sz w:val="32"/>
          <w:szCs w:val="32"/>
        </w:rPr>
        <w:tab/>
        <w:t>▲接收探头：≥42（单主机，非级联），探测器为雪崩二极管APD，探测微弱光信号更灵敏，需提供医疗器械检验机构出具的、并在药监局备案的技术要求或检验报告的封面页及对应页；</w:t>
      </w:r>
    </w:p>
    <w:p w14:paraId="3CD542EC"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6.</w:t>
      </w:r>
      <w:r w:rsidRPr="00E1443B">
        <w:rPr>
          <w:rFonts w:ascii="仿宋_GB2312" w:eastAsia="仿宋_GB2312" w:hint="eastAsia"/>
          <w:sz w:val="32"/>
          <w:szCs w:val="32"/>
        </w:rPr>
        <w:tab/>
        <w:t>▲通道数：提供≥102有效探测通道（非断层），支持多脑区</w:t>
      </w:r>
      <w:r w:rsidRPr="00E1443B">
        <w:rPr>
          <w:rFonts w:ascii="仿宋_GB2312" w:eastAsia="仿宋_GB2312" w:hint="eastAsia"/>
          <w:sz w:val="32"/>
          <w:szCs w:val="32"/>
        </w:rPr>
        <w:lastRenderedPageBreak/>
        <w:t>同步检测，提供医疗器械检验机构出具的、并在药监局备案的技术要求或检验报告的封面页及对应页；</w:t>
      </w:r>
    </w:p>
    <w:p w14:paraId="5C751E8A"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7.</w:t>
      </w:r>
      <w:r w:rsidRPr="00E1443B">
        <w:rPr>
          <w:rFonts w:ascii="仿宋_GB2312" w:eastAsia="仿宋_GB2312" w:hint="eastAsia"/>
          <w:sz w:val="32"/>
          <w:szCs w:val="32"/>
        </w:rPr>
        <w:tab/>
        <w:t xml:space="preserve">★高清晰的组织光谱解析能力：三波长，相对于两波长，更有效地去除人体其他组织成份的干扰，血红蛋白浓度检测更精准； </w:t>
      </w:r>
    </w:p>
    <w:p w14:paraId="142186ED"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8.</w:t>
      </w:r>
      <w:r w:rsidRPr="00E1443B">
        <w:rPr>
          <w:rFonts w:ascii="仿宋_GB2312" w:eastAsia="仿宋_GB2312" w:hint="eastAsia"/>
          <w:sz w:val="32"/>
          <w:szCs w:val="32"/>
        </w:rPr>
        <w:tab/>
        <w:t>▲提供730nM超短波长，距离血红蛋白等位点波长远，并且避免了700nm以下组织强光吸收，信噪比高，准确度高，提供医疗器械检验机构出具的、并在药监局备案的技术要求或检验报告的封面页及对应页；</w:t>
      </w:r>
    </w:p>
    <w:p w14:paraId="6541F010"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9.</w:t>
      </w:r>
      <w:r w:rsidRPr="00E1443B">
        <w:rPr>
          <w:rFonts w:ascii="仿宋_GB2312" w:eastAsia="仿宋_GB2312" w:hint="eastAsia"/>
          <w:sz w:val="32"/>
          <w:szCs w:val="32"/>
        </w:rPr>
        <w:tab/>
        <w:t xml:space="preserve">▲发射探头光功率：单波长≥30mW，更高亮度、安全的近红外光照明，更有效地克服生物组织的光吸收衰减； </w:t>
      </w:r>
    </w:p>
    <w:p w14:paraId="2DA377F8"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10.</w:t>
      </w:r>
      <w:r w:rsidRPr="00E1443B">
        <w:rPr>
          <w:rFonts w:ascii="仿宋_GB2312" w:eastAsia="仿宋_GB2312" w:hint="eastAsia"/>
          <w:sz w:val="32"/>
          <w:szCs w:val="32"/>
        </w:rPr>
        <w:tab/>
        <w:t xml:space="preserve">★分时采集：光源不同时点亮，彻底消除不同探测通道之间的相互串扰和混淆，检测更准确； </w:t>
      </w:r>
    </w:p>
    <w:p w14:paraId="733E3CFB"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11.</w:t>
      </w:r>
      <w:r w:rsidRPr="00E1443B">
        <w:rPr>
          <w:rFonts w:ascii="仿宋_GB2312" w:eastAsia="仿宋_GB2312" w:hint="eastAsia"/>
          <w:sz w:val="32"/>
          <w:szCs w:val="32"/>
        </w:rPr>
        <w:tab/>
        <w:t>自适应增益调整：提供≥130dB的动态范围，一键自适应光源功率-探测增益调整，解决额叶、顶叶、枕叶等不同脑区信号强度差异大的挑战，在不同脑区均有优异的信号质量表现；</w:t>
      </w:r>
    </w:p>
    <w:p w14:paraId="35B66BDC"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12.</w:t>
      </w:r>
      <w:r w:rsidRPr="00E1443B">
        <w:rPr>
          <w:rFonts w:ascii="仿宋_GB2312" w:eastAsia="仿宋_GB2312" w:hint="eastAsia"/>
          <w:sz w:val="32"/>
          <w:szCs w:val="32"/>
        </w:rPr>
        <w:tab/>
        <w:t>▲生物安全相容性：探头和头帽与人体头部直接接触，需提供国际或国内认可的正规第三方检测结构出具的生物安全相容性报告，且报告编号网络可查；</w:t>
      </w:r>
    </w:p>
    <w:p w14:paraId="3254A85F"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13.</w:t>
      </w:r>
      <w:r w:rsidRPr="00E1443B">
        <w:rPr>
          <w:rFonts w:ascii="仿宋_GB2312" w:eastAsia="仿宋_GB2312" w:hint="eastAsia"/>
          <w:sz w:val="32"/>
          <w:szCs w:val="32"/>
        </w:rPr>
        <w:tab/>
        <w:t>▲支持与脑电EEG联用，实现多模态脑功能信号检测，提供设备支撑发表的近红外脑功能/EEG联用的学术论文（SCI论文或中文核心期刊）作为证明材料；</w:t>
      </w:r>
    </w:p>
    <w:p w14:paraId="74CC08FE"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14.</w:t>
      </w:r>
      <w:r w:rsidRPr="00E1443B">
        <w:rPr>
          <w:rFonts w:ascii="仿宋_GB2312" w:eastAsia="仿宋_GB2312" w:hint="eastAsia"/>
          <w:sz w:val="32"/>
          <w:szCs w:val="32"/>
        </w:rPr>
        <w:tab/>
        <w:t>支持与tDCS、TMS同位联用；</w:t>
      </w:r>
    </w:p>
    <w:p w14:paraId="5281F939"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15.</w:t>
      </w:r>
      <w:r w:rsidRPr="00E1443B">
        <w:rPr>
          <w:rFonts w:ascii="仿宋_GB2312" w:eastAsia="仿宋_GB2312" w:hint="eastAsia"/>
          <w:sz w:val="32"/>
          <w:szCs w:val="32"/>
        </w:rPr>
        <w:tab/>
        <w:t>▲与整机同品牌采集软件：获得计算机软件著作权登记证书；支持层叠曲线、散布曲线、拓扑二维图像和拓扑三维MRI图</w:t>
      </w:r>
      <w:r w:rsidRPr="00E1443B">
        <w:rPr>
          <w:rFonts w:ascii="仿宋_GB2312" w:eastAsia="仿宋_GB2312" w:hint="eastAsia"/>
          <w:sz w:val="32"/>
          <w:szCs w:val="32"/>
        </w:rPr>
        <w:lastRenderedPageBreak/>
        <w:t xml:space="preserve">像融合显示等多种信号显示方式，显示方式直观灵活，提供软件著作权证书  </w:t>
      </w:r>
    </w:p>
    <w:p w14:paraId="5F42F0C6"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16.</w:t>
      </w:r>
      <w:r w:rsidRPr="00E1443B">
        <w:rPr>
          <w:rFonts w:ascii="仿宋_GB2312" w:eastAsia="仿宋_GB2312" w:hint="eastAsia"/>
          <w:sz w:val="32"/>
          <w:szCs w:val="32"/>
        </w:rPr>
        <w:tab/>
        <w:t>探头排布与信号显示同屏显示，实时信号观测和解读更全面；信号质量实时监测，方便用户及时调整；自动增益调整，一键快速达到最优系统工作状态；</w:t>
      </w:r>
    </w:p>
    <w:p w14:paraId="261BB971"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17.</w:t>
      </w:r>
      <w:r w:rsidRPr="00E1443B">
        <w:rPr>
          <w:rFonts w:ascii="仿宋_GB2312" w:eastAsia="仿宋_GB2312" w:hint="eastAsia"/>
          <w:sz w:val="32"/>
          <w:szCs w:val="32"/>
        </w:rPr>
        <w:tab/>
        <w:t xml:space="preserve">支持视频、音频同步录制，同步记录实验过程，方便用户整合脑响应图谱、行为学、实验环境等多层次信息；   </w:t>
      </w:r>
    </w:p>
    <w:p w14:paraId="10A5F1E8"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18.</w:t>
      </w:r>
      <w:r w:rsidRPr="00E1443B">
        <w:rPr>
          <w:rFonts w:ascii="仿宋_GB2312" w:eastAsia="仿宋_GB2312" w:hint="eastAsia"/>
          <w:sz w:val="32"/>
          <w:szCs w:val="32"/>
        </w:rPr>
        <w:tab/>
        <w:t>自定义任务课题设计，支持自定义刺激素材，包括视频、音频、图片、文字，定义时间长度和播放时序，支持自定义时间长度和播放时序；相对外置第三方软件，同步性更高、操作更无缝/方便；</w:t>
      </w:r>
    </w:p>
    <w:p w14:paraId="493DFA31"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19.</w:t>
      </w:r>
      <w:r w:rsidRPr="00E1443B">
        <w:rPr>
          <w:rFonts w:ascii="仿宋_GB2312" w:eastAsia="仿宋_GB2312" w:hint="eastAsia"/>
          <w:sz w:val="32"/>
          <w:szCs w:val="32"/>
        </w:rPr>
        <w:tab/>
        <w:t>内置临床科研研究模板，提供包括言语流畅性、Go-Nogo、N-back、静息态等十个以上的研究模板，并针对模板提供自动分析和参数提取；任务课题一键切换，方便快速开展多个任务课题检测；</w:t>
      </w:r>
    </w:p>
    <w:p w14:paraId="69B40A62"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20.</w:t>
      </w:r>
      <w:r w:rsidRPr="00E1443B">
        <w:rPr>
          <w:rFonts w:ascii="仿宋_GB2312" w:eastAsia="仿宋_GB2312" w:hint="eastAsia"/>
          <w:sz w:val="32"/>
          <w:szCs w:val="32"/>
        </w:rPr>
        <w:tab/>
        <w:t>内置临床检查模块--语言流畅性检测，提取积分值、重心值等特征参数，应用于精神疾病与认知的临床检查；</w:t>
      </w:r>
    </w:p>
    <w:p w14:paraId="3AFF309C"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21.</w:t>
      </w:r>
      <w:r w:rsidRPr="00E1443B">
        <w:rPr>
          <w:rFonts w:ascii="仿宋_GB2312" w:eastAsia="仿宋_GB2312" w:hint="eastAsia"/>
          <w:sz w:val="32"/>
          <w:szCs w:val="32"/>
        </w:rPr>
        <w:tab/>
        <w:t>▲内置临床检查模块--脑卒中康复评价方案，提供配套肢体任务态检测，提取脑网络、脑激活特征参数，应用于脑卒中康复患者的康复评估，提供采用厂商近红外脑功能成像产品支持实现的评估方案有效性的证明文件，包括SCI论文或临床试验报告（临床试验报告需具有临床试验备案，备案编号网络可查并提供查询网址链接））；</w:t>
      </w:r>
    </w:p>
    <w:p w14:paraId="6AF8B6CC"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22.</w:t>
      </w:r>
      <w:r w:rsidRPr="00E1443B">
        <w:rPr>
          <w:rFonts w:ascii="仿宋_GB2312" w:eastAsia="仿宋_GB2312" w:hint="eastAsia"/>
          <w:sz w:val="32"/>
          <w:szCs w:val="32"/>
        </w:rPr>
        <w:tab/>
        <w:t>▲内置临床检查模块--注意力障碍儿童静息态检查，提取</w:t>
      </w:r>
      <w:r w:rsidRPr="00E1443B">
        <w:rPr>
          <w:rFonts w:ascii="仿宋_GB2312" w:eastAsia="仿宋_GB2312" w:hint="eastAsia"/>
          <w:sz w:val="32"/>
          <w:szCs w:val="32"/>
        </w:rPr>
        <w:lastRenderedPageBreak/>
        <w:t>脑网络指标，应用于注意力障碍儿童的临床检查或评估，提供采用厂商近红外脑功能成像产品支持实现的检测方案有效性的证明文件，包括SCI论文或临床试验报告（临床试验报告需具有临床试验备案，备案编号网络可查并提供查询网址链接）；</w:t>
      </w:r>
    </w:p>
    <w:p w14:paraId="6289A00D"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23.</w:t>
      </w:r>
      <w:r w:rsidRPr="00E1443B">
        <w:rPr>
          <w:rFonts w:ascii="仿宋_GB2312" w:eastAsia="仿宋_GB2312" w:hint="eastAsia"/>
          <w:sz w:val="32"/>
          <w:szCs w:val="32"/>
        </w:rPr>
        <w:tab/>
        <w:t>内置自定义数据分析模块，支持自定义时间窗、特征值、感兴趣区域（Region of Interest, ROI），以及ROI计算因子，并能够执行相应计算；</w:t>
      </w:r>
    </w:p>
    <w:p w14:paraId="54CDFAF2"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24.</w:t>
      </w:r>
      <w:r w:rsidRPr="00E1443B">
        <w:rPr>
          <w:rFonts w:ascii="仿宋_GB2312" w:eastAsia="仿宋_GB2312" w:hint="eastAsia"/>
          <w:sz w:val="32"/>
          <w:szCs w:val="32"/>
        </w:rPr>
        <w:tab/>
        <w:t>临床疗效评价功能，支持两次或多次临床检查数据比照分析，临床疗效评价定量、直观、快捷；</w:t>
      </w:r>
    </w:p>
    <w:p w14:paraId="7D210926"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25.</w:t>
      </w:r>
      <w:r w:rsidRPr="00E1443B">
        <w:rPr>
          <w:rFonts w:ascii="仿宋_GB2312" w:eastAsia="仿宋_GB2312" w:hint="eastAsia"/>
          <w:sz w:val="32"/>
          <w:szCs w:val="32"/>
        </w:rPr>
        <w:tab/>
        <w:t>医疗数据管理：支持病人信息录入，以病人信息为基准进行数据管理，多样化数据检索功能，可根据病人的姓名、出生年月、测量日期等信息对数据进行检索查看；</w:t>
      </w:r>
    </w:p>
    <w:p w14:paraId="776904F1"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26.</w:t>
      </w:r>
      <w:r w:rsidRPr="00E1443B">
        <w:rPr>
          <w:rFonts w:ascii="仿宋_GB2312" w:eastAsia="仿宋_GB2312" w:hint="eastAsia"/>
          <w:sz w:val="32"/>
          <w:szCs w:val="32"/>
        </w:rPr>
        <w:tab/>
        <w:t>支持为病人提供和出具的临床检查的报告预览；为病人提供和出具的临床检查报告可另存为word、pdf格式文本；</w:t>
      </w:r>
    </w:p>
    <w:p w14:paraId="12EF816C"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27.</w:t>
      </w:r>
      <w:r w:rsidRPr="00E1443B">
        <w:rPr>
          <w:rFonts w:ascii="仿宋_GB2312" w:eastAsia="仿宋_GB2312" w:hint="eastAsia"/>
          <w:sz w:val="32"/>
          <w:szCs w:val="32"/>
        </w:rPr>
        <w:tab/>
        <w:t>▲与整机同品牌科学研究分析软件：临床与科研模块分开，兼顾临床模块的简捷性与科研模块的功能丰富和灵活性，提供软件著作权证书；</w:t>
      </w:r>
    </w:p>
    <w:p w14:paraId="0944C70F"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28.</w:t>
      </w:r>
      <w:r w:rsidRPr="00E1443B">
        <w:rPr>
          <w:rFonts w:ascii="仿宋_GB2312" w:eastAsia="仿宋_GB2312" w:hint="eastAsia"/>
          <w:sz w:val="32"/>
          <w:szCs w:val="32"/>
        </w:rPr>
        <w:tab/>
        <w:t>▲与整机同品牌科学研究分析软件，非第三方开源软件，具备一站式数据分析功能，提供数据预处理、伪迹识别与校正、一般线性模型GLM脑激活计算、脑网络连接计算、统计分析、三维显示等功能，已支撑发表一篇或以上的SCI论文证明其学术认可度，科学研究分析软件是开展临床科研的基础平台，其有效性直接影响临床科研结果的可信度，必须得到学术界认可，因而需提供该科学研究分析软件支撑发表的SCI论文一篇或以上，提供</w:t>
      </w:r>
      <w:r w:rsidRPr="00E1443B">
        <w:rPr>
          <w:rFonts w:ascii="仿宋_GB2312" w:eastAsia="仿宋_GB2312" w:hint="eastAsia"/>
          <w:sz w:val="32"/>
          <w:szCs w:val="32"/>
        </w:rPr>
        <w:lastRenderedPageBreak/>
        <w:t>SCI论文全文作为证明材料；</w:t>
      </w:r>
    </w:p>
    <w:p w14:paraId="2E952E1E"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29.</w:t>
      </w:r>
      <w:r w:rsidRPr="00E1443B">
        <w:rPr>
          <w:rFonts w:ascii="仿宋_GB2312" w:eastAsia="仿宋_GB2312" w:hint="eastAsia"/>
          <w:sz w:val="32"/>
          <w:szCs w:val="32"/>
        </w:rPr>
        <w:tab/>
        <w:t>与整机同品牌科学研究分析软件，数据预处理：支持频带滤波（低通、高通、带通）功能，去除无关的生理频段及低频漂移；识别低信噪比通道，支持手动或自动删除通道；支持事件编辑：提供自定义标记编辑功能，让事件同步更灵活；支持伪迹移除\校正：可自动/手动识别运动伪迹，支持自动、手动伪迹去除与校正；</w:t>
      </w:r>
    </w:p>
    <w:p w14:paraId="2C16FA0F"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30.</w:t>
      </w:r>
      <w:r w:rsidRPr="00E1443B">
        <w:rPr>
          <w:rFonts w:ascii="仿宋_GB2312" w:eastAsia="仿宋_GB2312" w:hint="eastAsia"/>
          <w:sz w:val="32"/>
          <w:szCs w:val="32"/>
        </w:rPr>
        <w:tab/>
        <w:t>▲与整机同品牌科学研究分析软件，支持一般线性模型GLM分析，得到学术界认可，提供SCI论文作为支撑材料；</w:t>
      </w:r>
    </w:p>
    <w:p w14:paraId="0883DE08"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31.</w:t>
      </w:r>
      <w:r w:rsidRPr="00E1443B">
        <w:rPr>
          <w:rFonts w:ascii="仿宋_GB2312" w:eastAsia="仿宋_GB2312" w:hint="eastAsia"/>
          <w:sz w:val="32"/>
          <w:szCs w:val="32"/>
        </w:rPr>
        <w:tab/>
        <w:t>多条件的GLM系数估计；支持T-test、F-test数据分析；支持个体、群组数据分析；提供p值的FDR矫正；</w:t>
      </w:r>
    </w:p>
    <w:p w14:paraId="45E97E72"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32.</w:t>
      </w:r>
      <w:r w:rsidRPr="00E1443B">
        <w:rPr>
          <w:rFonts w:ascii="仿宋_GB2312" w:eastAsia="仿宋_GB2312" w:hint="eastAsia"/>
          <w:sz w:val="32"/>
          <w:szCs w:val="32"/>
        </w:rPr>
        <w:tab/>
        <w:t>▲与整机同品牌科学研究分析软件，支持脑网络连接计算，得到学术界认可，提供SCI论文作为支撑材料；</w:t>
      </w:r>
    </w:p>
    <w:p w14:paraId="29A4B554"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33.</w:t>
      </w:r>
      <w:r w:rsidRPr="00E1443B">
        <w:rPr>
          <w:rFonts w:ascii="仿宋_GB2312" w:eastAsia="仿宋_GB2312" w:hint="eastAsia"/>
          <w:sz w:val="32"/>
          <w:szCs w:val="32"/>
        </w:rPr>
        <w:tab/>
        <w:t>个体（Level 1）、群组(Level 2)数据统计：提供脑网络分析功能，支持自定义ROI及图谱排布编辑，支持ROI的连接参数计算；脑网络连接系数计算可选Pearson或Cross规则，矩阵类型可定义为ZMap或RMap，并支持阈值化计算；支持脑网络连接系数的个体和群组的统计分析，统计校验支持t检验或单因素方差分析；</w:t>
      </w:r>
    </w:p>
    <w:p w14:paraId="2ECD3028"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34.</w:t>
      </w:r>
      <w:r w:rsidRPr="00E1443B">
        <w:rPr>
          <w:rFonts w:ascii="仿宋_GB2312" w:eastAsia="仿宋_GB2312" w:hint="eastAsia"/>
          <w:sz w:val="32"/>
          <w:szCs w:val="32"/>
        </w:rPr>
        <w:tab/>
        <w:t>▲厂商近红外脑功能成像产品的学术认可度：厂商的近红外脑功能成像产品已支撑国内研究机构发表SCI论文40篇以上（提供论文首页与相应设备标注页作为证明材料）；</w:t>
      </w:r>
    </w:p>
    <w:p w14:paraId="10BD43CE" w14:textId="77777777" w:rsidR="00E1443B" w:rsidRPr="00E1443B" w:rsidRDefault="00E1443B" w:rsidP="00E1443B">
      <w:pPr>
        <w:spacing w:line="520" w:lineRule="exact"/>
        <w:rPr>
          <w:rFonts w:ascii="仿宋_GB2312" w:eastAsia="仿宋_GB2312" w:hint="eastAsia"/>
          <w:sz w:val="32"/>
          <w:szCs w:val="32"/>
        </w:rPr>
      </w:pPr>
      <w:r w:rsidRPr="00E1443B">
        <w:rPr>
          <w:rFonts w:ascii="仿宋_GB2312" w:eastAsia="仿宋_GB2312" w:hint="eastAsia"/>
          <w:sz w:val="32"/>
          <w:szCs w:val="32"/>
        </w:rPr>
        <w:t>35.</w:t>
      </w:r>
      <w:r w:rsidRPr="00E1443B">
        <w:rPr>
          <w:rFonts w:ascii="仿宋_GB2312" w:eastAsia="仿宋_GB2312" w:hint="eastAsia"/>
          <w:sz w:val="32"/>
          <w:szCs w:val="32"/>
        </w:rPr>
        <w:tab/>
        <w:t>★需提供制造商出具的经销授权。</w:t>
      </w:r>
    </w:p>
    <w:sectPr w:rsidR="00E1443B" w:rsidRPr="00E1443B" w:rsidSect="00E23592">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F2D1" w14:textId="77777777" w:rsidR="00FF71B0" w:rsidRDefault="00FF71B0" w:rsidP="0043215F">
      <w:r>
        <w:separator/>
      </w:r>
    </w:p>
  </w:endnote>
  <w:endnote w:type="continuationSeparator" w:id="0">
    <w:p w14:paraId="30D8C153" w14:textId="77777777" w:rsidR="00FF71B0" w:rsidRDefault="00FF71B0" w:rsidP="0043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16D1" w14:textId="77777777" w:rsidR="00D873CF" w:rsidRDefault="00DE4761" w:rsidP="00605900">
    <w:pPr>
      <w:pStyle w:val="a5"/>
      <w:jc w:val="center"/>
    </w:pPr>
    <w:r>
      <w:fldChar w:fldCharType="begin"/>
    </w:r>
    <w:r>
      <w:instrText xml:space="preserve"> PAGE   \* MERGEFORMAT </w:instrText>
    </w:r>
    <w:r>
      <w:fldChar w:fldCharType="separate"/>
    </w:r>
    <w:r w:rsidR="00EC1065" w:rsidRPr="00EC1065">
      <w:rPr>
        <w:noProof/>
        <w:lang w:val="zh-CN"/>
      </w:rPr>
      <w:t>1</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26EE0" w14:textId="77777777" w:rsidR="00FF71B0" w:rsidRDefault="00FF71B0" w:rsidP="0043215F">
      <w:r>
        <w:separator/>
      </w:r>
    </w:p>
  </w:footnote>
  <w:footnote w:type="continuationSeparator" w:id="0">
    <w:p w14:paraId="2696BC9E" w14:textId="77777777" w:rsidR="00FF71B0" w:rsidRDefault="00FF71B0" w:rsidP="00432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6911"/>
    <w:multiLevelType w:val="hybridMultilevel"/>
    <w:tmpl w:val="CAF49608"/>
    <w:lvl w:ilvl="0" w:tplc="9808EE8A">
      <w:start w:val="1"/>
      <w:numFmt w:val="japaneseCounting"/>
      <w:lvlText w:val="%1、"/>
      <w:lvlJc w:val="left"/>
      <w:pPr>
        <w:ind w:left="1924" w:hanging="1284"/>
      </w:pPr>
      <w:rPr>
        <w:rFonts w:hAnsi="Calibri"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15:restartNumberingAfterBreak="0">
    <w:nsid w:val="199B7C74"/>
    <w:multiLevelType w:val="hybridMultilevel"/>
    <w:tmpl w:val="2F96F2D2"/>
    <w:lvl w:ilvl="0" w:tplc="01FEE4A6">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15:restartNumberingAfterBreak="0">
    <w:nsid w:val="242A21F9"/>
    <w:multiLevelType w:val="hybridMultilevel"/>
    <w:tmpl w:val="48FE8898"/>
    <w:lvl w:ilvl="0" w:tplc="29B0C1FA">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36867BB9"/>
    <w:multiLevelType w:val="hybridMultilevel"/>
    <w:tmpl w:val="89EEF816"/>
    <w:lvl w:ilvl="0" w:tplc="2DA209E2">
      <w:start w:val="1"/>
      <w:numFmt w:val="japaneseCounting"/>
      <w:lvlText w:val="（%1）"/>
      <w:lvlJc w:val="left"/>
      <w:pPr>
        <w:ind w:left="1720" w:hanging="1080"/>
      </w:pPr>
      <w:rPr>
        <w:rFonts w:hAnsi="Calibri" w:cs="Times New Roman"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36F80323"/>
    <w:multiLevelType w:val="hybridMultilevel"/>
    <w:tmpl w:val="52B0B0DE"/>
    <w:lvl w:ilvl="0" w:tplc="1106976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3B2A0601"/>
    <w:multiLevelType w:val="hybridMultilevel"/>
    <w:tmpl w:val="62B41210"/>
    <w:lvl w:ilvl="0" w:tplc="BDF84E62">
      <w:start w:val="1"/>
      <w:numFmt w:val="japaneseCounting"/>
      <w:lvlText w:val="%1、"/>
      <w:lvlJc w:val="left"/>
      <w:pPr>
        <w:ind w:left="1816" w:hanging="1176"/>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15:restartNumberingAfterBreak="0">
    <w:nsid w:val="41B630C0"/>
    <w:multiLevelType w:val="hybridMultilevel"/>
    <w:tmpl w:val="E28A5CEA"/>
    <w:lvl w:ilvl="0" w:tplc="DCE01F0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4B222C6B"/>
    <w:multiLevelType w:val="hybridMultilevel"/>
    <w:tmpl w:val="A7C844BE"/>
    <w:lvl w:ilvl="0" w:tplc="42F88EFA">
      <w:start w:val="1"/>
      <w:numFmt w:val="decimalEnclosedCircle"/>
      <w:lvlText w:val="%1"/>
      <w:lvlJc w:val="left"/>
      <w:pPr>
        <w:ind w:left="360" w:hanging="360"/>
      </w:pPr>
      <w:rPr>
        <w:rFonts w:hAnsi="黑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15:restartNumberingAfterBreak="0">
    <w:nsid w:val="506A4955"/>
    <w:multiLevelType w:val="hybridMultilevel"/>
    <w:tmpl w:val="7402DAD6"/>
    <w:lvl w:ilvl="0" w:tplc="0DEC5FE0">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16cid:durableId="100030687">
    <w:abstractNumId w:val="0"/>
  </w:num>
  <w:num w:numId="2" w16cid:durableId="578363992">
    <w:abstractNumId w:val="4"/>
  </w:num>
  <w:num w:numId="3" w16cid:durableId="2091077293">
    <w:abstractNumId w:val="7"/>
  </w:num>
  <w:num w:numId="4" w16cid:durableId="1879387407">
    <w:abstractNumId w:val="6"/>
  </w:num>
  <w:num w:numId="5" w16cid:durableId="1505897002">
    <w:abstractNumId w:val="2"/>
  </w:num>
  <w:num w:numId="6" w16cid:durableId="1843743493">
    <w:abstractNumId w:val="5"/>
  </w:num>
  <w:num w:numId="7" w16cid:durableId="1094323079">
    <w:abstractNumId w:val="8"/>
  </w:num>
  <w:num w:numId="8" w16cid:durableId="442960427">
    <w:abstractNumId w:val="1"/>
  </w:num>
  <w:num w:numId="9" w16cid:durableId="763262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DA"/>
    <w:rsid w:val="0000497C"/>
    <w:rsid w:val="00007857"/>
    <w:rsid w:val="0001671A"/>
    <w:rsid w:val="000204B3"/>
    <w:rsid w:val="00021CB5"/>
    <w:rsid w:val="000429D1"/>
    <w:rsid w:val="00054AF9"/>
    <w:rsid w:val="00055EBF"/>
    <w:rsid w:val="00064487"/>
    <w:rsid w:val="00086306"/>
    <w:rsid w:val="0009587F"/>
    <w:rsid w:val="00096BEC"/>
    <w:rsid w:val="00096D05"/>
    <w:rsid w:val="00097048"/>
    <w:rsid w:val="000C3DC3"/>
    <w:rsid w:val="000D3449"/>
    <w:rsid w:val="000D42A9"/>
    <w:rsid w:val="000E1A7C"/>
    <w:rsid w:val="000E3E14"/>
    <w:rsid w:val="001077CF"/>
    <w:rsid w:val="001103F4"/>
    <w:rsid w:val="00110ACB"/>
    <w:rsid w:val="00130030"/>
    <w:rsid w:val="001322DA"/>
    <w:rsid w:val="00135C47"/>
    <w:rsid w:val="0015302D"/>
    <w:rsid w:val="001635F2"/>
    <w:rsid w:val="0016589A"/>
    <w:rsid w:val="00182392"/>
    <w:rsid w:val="001A1015"/>
    <w:rsid w:val="001A217C"/>
    <w:rsid w:val="001A4C9F"/>
    <w:rsid w:val="001A74A5"/>
    <w:rsid w:val="001B4DB4"/>
    <w:rsid w:val="001D1A19"/>
    <w:rsid w:val="001D22C5"/>
    <w:rsid w:val="001D35F2"/>
    <w:rsid w:val="001D52AD"/>
    <w:rsid w:val="001F58C9"/>
    <w:rsid w:val="001F73F9"/>
    <w:rsid w:val="00207F79"/>
    <w:rsid w:val="00222CC6"/>
    <w:rsid w:val="0027046F"/>
    <w:rsid w:val="0027693C"/>
    <w:rsid w:val="00277845"/>
    <w:rsid w:val="003713B6"/>
    <w:rsid w:val="00373916"/>
    <w:rsid w:val="00373DB5"/>
    <w:rsid w:val="003A5AF6"/>
    <w:rsid w:val="003B4C5D"/>
    <w:rsid w:val="003E0B74"/>
    <w:rsid w:val="003E535A"/>
    <w:rsid w:val="003F6ED1"/>
    <w:rsid w:val="003F7B2E"/>
    <w:rsid w:val="00427DC9"/>
    <w:rsid w:val="0043215F"/>
    <w:rsid w:val="004576AC"/>
    <w:rsid w:val="00473944"/>
    <w:rsid w:val="00480FFC"/>
    <w:rsid w:val="00481BBC"/>
    <w:rsid w:val="004823C6"/>
    <w:rsid w:val="00486BE6"/>
    <w:rsid w:val="0049369D"/>
    <w:rsid w:val="004B2D0E"/>
    <w:rsid w:val="004C562E"/>
    <w:rsid w:val="004D6F70"/>
    <w:rsid w:val="004F527D"/>
    <w:rsid w:val="00506D3B"/>
    <w:rsid w:val="00543C01"/>
    <w:rsid w:val="005453C1"/>
    <w:rsid w:val="005619B4"/>
    <w:rsid w:val="005D3FF8"/>
    <w:rsid w:val="00605900"/>
    <w:rsid w:val="00606A81"/>
    <w:rsid w:val="00614A5E"/>
    <w:rsid w:val="00644325"/>
    <w:rsid w:val="00674B0E"/>
    <w:rsid w:val="00682A5B"/>
    <w:rsid w:val="006957DA"/>
    <w:rsid w:val="006B556D"/>
    <w:rsid w:val="006B56B1"/>
    <w:rsid w:val="006D419B"/>
    <w:rsid w:val="006D4573"/>
    <w:rsid w:val="006D5FA9"/>
    <w:rsid w:val="006E09CA"/>
    <w:rsid w:val="007137E7"/>
    <w:rsid w:val="007511EF"/>
    <w:rsid w:val="00756550"/>
    <w:rsid w:val="007646C0"/>
    <w:rsid w:val="007703C6"/>
    <w:rsid w:val="00791F60"/>
    <w:rsid w:val="00792F98"/>
    <w:rsid w:val="00794D41"/>
    <w:rsid w:val="007B3C8B"/>
    <w:rsid w:val="007C036B"/>
    <w:rsid w:val="007C25E0"/>
    <w:rsid w:val="007C34F4"/>
    <w:rsid w:val="007C57BE"/>
    <w:rsid w:val="007C7F06"/>
    <w:rsid w:val="007F2EE0"/>
    <w:rsid w:val="007F3019"/>
    <w:rsid w:val="007F5A91"/>
    <w:rsid w:val="008036A4"/>
    <w:rsid w:val="00810FE1"/>
    <w:rsid w:val="00824F38"/>
    <w:rsid w:val="00850ED0"/>
    <w:rsid w:val="00863567"/>
    <w:rsid w:val="008757C0"/>
    <w:rsid w:val="008B474B"/>
    <w:rsid w:val="008C3B84"/>
    <w:rsid w:val="008E73CE"/>
    <w:rsid w:val="00906086"/>
    <w:rsid w:val="00911374"/>
    <w:rsid w:val="009249E4"/>
    <w:rsid w:val="009271A2"/>
    <w:rsid w:val="0094411C"/>
    <w:rsid w:val="009512A3"/>
    <w:rsid w:val="00952EA8"/>
    <w:rsid w:val="009558C1"/>
    <w:rsid w:val="0097766C"/>
    <w:rsid w:val="009819B5"/>
    <w:rsid w:val="009819E2"/>
    <w:rsid w:val="00987C0D"/>
    <w:rsid w:val="009A6B99"/>
    <w:rsid w:val="009B432E"/>
    <w:rsid w:val="009F5910"/>
    <w:rsid w:val="00A04A10"/>
    <w:rsid w:val="00A215A0"/>
    <w:rsid w:val="00A31AC6"/>
    <w:rsid w:val="00A31FBF"/>
    <w:rsid w:val="00A44F8C"/>
    <w:rsid w:val="00A57C88"/>
    <w:rsid w:val="00A84364"/>
    <w:rsid w:val="00A94AD7"/>
    <w:rsid w:val="00A97402"/>
    <w:rsid w:val="00AA35DF"/>
    <w:rsid w:val="00AD32B7"/>
    <w:rsid w:val="00AE1376"/>
    <w:rsid w:val="00AF2A5F"/>
    <w:rsid w:val="00AF32BE"/>
    <w:rsid w:val="00B13A17"/>
    <w:rsid w:val="00B15DB5"/>
    <w:rsid w:val="00B24DA5"/>
    <w:rsid w:val="00B27912"/>
    <w:rsid w:val="00B40C53"/>
    <w:rsid w:val="00B6113F"/>
    <w:rsid w:val="00B75918"/>
    <w:rsid w:val="00B815DA"/>
    <w:rsid w:val="00B835EB"/>
    <w:rsid w:val="00B86B67"/>
    <w:rsid w:val="00B90583"/>
    <w:rsid w:val="00B91032"/>
    <w:rsid w:val="00BA09FE"/>
    <w:rsid w:val="00BA3520"/>
    <w:rsid w:val="00BA649A"/>
    <w:rsid w:val="00BC1370"/>
    <w:rsid w:val="00BC1E0C"/>
    <w:rsid w:val="00BC4273"/>
    <w:rsid w:val="00BE3E8B"/>
    <w:rsid w:val="00BF0A1E"/>
    <w:rsid w:val="00C22CAC"/>
    <w:rsid w:val="00C27F83"/>
    <w:rsid w:val="00C46FAA"/>
    <w:rsid w:val="00C653F3"/>
    <w:rsid w:val="00C97D38"/>
    <w:rsid w:val="00CB3F4E"/>
    <w:rsid w:val="00CD18E5"/>
    <w:rsid w:val="00CD5364"/>
    <w:rsid w:val="00CD7BD9"/>
    <w:rsid w:val="00D42726"/>
    <w:rsid w:val="00D444F6"/>
    <w:rsid w:val="00D6286D"/>
    <w:rsid w:val="00D63B71"/>
    <w:rsid w:val="00D873CF"/>
    <w:rsid w:val="00D91A37"/>
    <w:rsid w:val="00D92091"/>
    <w:rsid w:val="00D9211E"/>
    <w:rsid w:val="00D94460"/>
    <w:rsid w:val="00DA37C0"/>
    <w:rsid w:val="00DA40A5"/>
    <w:rsid w:val="00DB30D7"/>
    <w:rsid w:val="00DE4761"/>
    <w:rsid w:val="00DF7D08"/>
    <w:rsid w:val="00E1443B"/>
    <w:rsid w:val="00E23592"/>
    <w:rsid w:val="00E2502F"/>
    <w:rsid w:val="00E27F9C"/>
    <w:rsid w:val="00E30BC3"/>
    <w:rsid w:val="00E3401D"/>
    <w:rsid w:val="00E42EAA"/>
    <w:rsid w:val="00E43ED7"/>
    <w:rsid w:val="00E57E81"/>
    <w:rsid w:val="00EA7658"/>
    <w:rsid w:val="00EC0205"/>
    <w:rsid w:val="00EC0371"/>
    <w:rsid w:val="00EC1065"/>
    <w:rsid w:val="00EC578A"/>
    <w:rsid w:val="00EE3107"/>
    <w:rsid w:val="00F00DDE"/>
    <w:rsid w:val="00F2194C"/>
    <w:rsid w:val="00F236DA"/>
    <w:rsid w:val="00F316E8"/>
    <w:rsid w:val="00F4230B"/>
    <w:rsid w:val="00F65BA2"/>
    <w:rsid w:val="00F67105"/>
    <w:rsid w:val="00F87C5E"/>
    <w:rsid w:val="00F94A58"/>
    <w:rsid w:val="00F97AE8"/>
    <w:rsid w:val="00FA2FB9"/>
    <w:rsid w:val="00FF7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DDE1E3"/>
  <w15:docId w15:val="{6BF31D69-36DF-4BA5-AC80-D9D54DBE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321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43215F"/>
    <w:rPr>
      <w:rFonts w:cs="Times New Roman"/>
      <w:sz w:val="18"/>
      <w:szCs w:val="18"/>
    </w:rPr>
  </w:style>
  <w:style w:type="paragraph" w:styleId="a5">
    <w:name w:val="footer"/>
    <w:basedOn w:val="a"/>
    <w:link w:val="a6"/>
    <w:uiPriority w:val="99"/>
    <w:rsid w:val="0043215F"/>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43215F"/>
    <w:rPr>
      <w:rFonts w:cs="Times New Roman"/>
      <w:sz w:val="18"/>
      <w:szCs w:val="18"/>
    </w:rPr>
  </w:style>
  <w:style w:type="table" w:styleId="a7">
    <w:name w:val="Table Grid"/>
    <w:basedOn w:val="a1"/>
    <w:uiPriority w:val="99"/>
    <w:rsid w:val="008C3B8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F67105"/>
    <w:pPr>
      <w:ind w:firstLineChars="200" w:firstLine="420"/>
    </w:pPr>
  </w:style>
  <w:style w:type="paragraph" w:styleId="a9">
    <w:name w:val="Date"/>
    <w:basedOn w:val="a"/>
    <w:next w:val="a"/>
    <w:link w:val="aa"/>
    <w:uiPriority w:val="99"/>
    <w:semiHidden/>
    <w:unhideWhenUsed/>
    <w:rsid w:val="00DA37C0"/>
    <w:pPr>
      <w:ind w:leftChars="2500" w:left="100"/>
    </w:pPr>
  </w:style>
  <w:style w:type="character" w:customStyle="1" w:styleId="aa">
    <w:name w:val="日期 字符"/>
    <w:basedOn w:val="a0"/>
    <w:link w:val="a9"/>
    <w:uiPriority w:val="99"/>
    <w:semiHidden/>
    <w:rsid w:val="00DA3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8861">
      <w:marLeft w:val="0"/>
      <w:marRight w:val="0"/>
      <w:marTop w:val="0"/>
      <w:marBottom w:val="0"/>
      <w:divBdr>
        <w:top w:val="none" w:sz="0" w:space="0" w:color="auto"/>
        <w:left w:val="none" w:sz="0" w:space="0" w:color="auto"/>
        <w:bottom w:val="none" w:sz="0" w:space="0" w:color="auto"/>
        <w:right w:val="none" w:sz="0" w:space="0" w:color="auto"/>
      </w:divBdr>
    </w:div>
    <w:div w:id="844248862">
      <w:marLeft w:val="0"/>
      <w:marRight w:val="0"/>
      <w:marTop w:val="0"/>
      <w:marBottom w:val="0"/>
      <w:divBdr>
        <w:top w:val="none" w:sz="0" w:space="0" w:color="auto"/>
        <w:left w:val="none" w:sz="0" w:space="0" w:color="auto"/>
        <w:bottom w:val="none" w:sz="0" w:space="0" w:color="auto"/>
        <w:right w:val="none" w:sz="0" w:space="0" w:color="auto"/>
      </w:divBdr>
    </w:div>
    <w:div w:id="844248863">
      <w:marLeft w:val="0"/>
      <w:marRight w:val="0"/>
      <w:marTop w:val="0"/>
      <w:marBottom w:val="0"/>
      <w:divBdr>
        <w:top w:val="none" w:sz="0" w:space="0" w:color="auto"/>
        <w:left w:val="none" w:sz="0" w:space="0" w:color="auto"/>
        <w:bottom w:val="none" w:sz="0" w:space="0" w:color="auto"/>
        <w:right w:val="none" w:sz="0" w:space="0" w:color="auto"/>
      </w:divBdr>
    </w:div>
    <w:div w:id="844248864">
      <w:marLeft w:val="0"/>
      <w:marRight w:val="0"/>
      <w:marTop w:val="0"/>
      <w:marBottom w:val="0"/>
      <w:divBdr>
        <w:top w:val="none" w:sz="0" w:space="0" w:color="auto"/>
        <w:left w:val="none" w:sz="0" w:space="0" w:color="auto"/>
        <w:bottom w:val="none" w:sz="0" w:space="0" w:color="auto"/>
        <w:right w:val="none" w:sz="0" w:space="0" w:color="auto"/>
      </w:divBdr>
    </w:div>
    <w:div w:id="844248865">
      <w:marLeft w:val="0"/>
      <w:marRight w:val="0"/>
      <w:marTop w:val="0"/>
      <w:marBottom w:val="0"/>
      <w:divBdr>
        <w:top w:val="none" w:sz="0" w:space="0" w:color="auto"/>
        <w:left w:val="none" w:sz="0" w:space="0" w:color="auto"/>
        <w:bottom w:val="none" w:sz="0" w:space="0" w:color="auto"/>
        <w:right w:val="none" w:sz="0" w:space="0" w:color="auto"/>
      </w:divBdr>
    </w:div>
    <w:div w:id="844248866">
      <w:marLeft w:val="0"/>
      <w:marRight w:val="0"/>
      <w:marTop w:val="0"/>
      <w:marBottom w:val="0"/>
      <w:divBdr>
        <w:top w:val="none" w:sz="0" w:space="0" w:color="auto"/>
        <w:left w:val="none" w:sz="0" w:space="0" w:color="auto"/>
        <w:bottom w:val="none" w:sz="0" w:space="0" w:color="auto"/>
        <w:right w:val="none" w:sz="0" w:space="0" w:color="auto"/>
      </w:divBdr>
    </w:div>
    <w:div w:id="844248867">
      <w:marLeft w:val="0"/>
      <w:marRight w:val="0"/>
      <w:marTop w:val="0"/>
      <w:marBottom w:val="0"/>
      <w:divBdr>
        <w:top w:val="none" w:sz="0" w:space="0" w:color="auto"/>
        <w:left w:val="none" w:sz="0" w:space="0" w:color="auto"/>
        <w:bottom w:val="none" w:sz="0" w:space="0" w:color="auto"/>
        <w:right w:val="none" w:sz="0" w:space="0" w:color="auto"/>
      </w:divBdr>
    </w:div>
    <w:div w:id="844248868">
      <w:marLeft w:val="0"/>
      <w:marRight w:val="0"/>
      <w:marTop w:val="0"/>
      <w:marBottom w:val="0"/>
      <w:divBdr>
        <w:top w:val="none" w:sz="0" w:space="0" w:color="auto"/>
        <w:left w:val="none" w:sz="0" w:space="0" w:color="auto"/>
        <w:bottom w:val="none" w:sz="0" w:space="0" w:color="auto"/>
        <w:right w:val="none" w:sz="0" w:space="0" w:color="auto"/>
      </w:divBdr>
    </w:div>
    <w:div w:id="844248869">
      <w:marLeft w:val="0"/>
      <w:marRight w:val="0"/>
      <w:marTop w:val="0"/>
      <w:marBottom w:val="0"/>
      <w:divBdr>
        <w:top w:val="none" w:sz="0" w:space="0" w:color="auto"/>
        <w:left w:val="none" w:sz="0" w:space="0" w:color="auto"/>
        <w:bottom w:val="none" w:sz="0" w:space="0" w:color="auto"/>
        <w:right w:val="none" w:sz="0" w:space="0" w:color="auto"/>
      </w:divBdr>
    </w:div>
    <w:div w:id="844248870">
      <w:marLeft w:val="0"/>
      <w:marRight w:val="0"/>
      <w:marTop w:val="0"/>
      <w:marBottom w:val="0"/>
      <w:divBdr>
        <w:top w:val="none" w:sz="0" w:space="0" w:color="auto"/>
        <w:left w:val="none" w:sz="0" w:space="0" w:color="auto"/>
        <w:bottom w:val="none" w:sz="0" w:space="0" w:color="auto"/>
        <w:right w:val="none" w:sz="0" w:space="0" w:color="auto"/>
      </w:divBdr>
    </w:div>
    <w:div w:id="844248871">
      <w:marLeft w:val="0"/>
      <w:marRight w:val="0"/>
      <w:marTop w:val="0"/>
      <w:marBottom w:val="0"/>
      <w:divBdr>
        <w:top w:val="none" w:sz="0" w:space="0" w:color="auto"/>
        <w:left w:val="none" w:sz="0" w:space="0" w:color="auto"/>
        <w:bottom w:val="none" w:sz="0" w:space="0" w:color="auto"/>
        <w:right w:val="none" w:sz="0" w:space="0" w:color="auto"/>
      </w:divBdr>
    </w:div>
    <w:div w:id="844248872">
      <w:marLeft w:val="0"/>
      <w:marRight w:val="0"/>
      <w:marTop w:val="0"/>
      <w:marBottom w:val="0"/>
      <w:divBdr>
        <w:top w:val="none" w:sz="0" w:space="0" w:color="auto"/>
        <w:left w:val="none" w:sz="0" w:space="0" w:color="auto"/>
        <w:bottom w:val="none" w:sz="0" w:space="0" w:color="auto"/>
        <w:right w:val="none" w:sz="0" w:space="0" w:color="auto"/>
      </w:divBdr>
    </w:div>
    <w:div w:id="844248873">
      <w:marLeft w:val="0"/>
      <w:marRight w:val="0"/>
      <w:marTop w:val="0"/>
      <w:marBottom w:val="0"/>
      <w:divBdr>
        <w:top w:val="none" w:sz="0" w:space="0" w:color="auto"/>
        <w:left w:val="none" w:sz="0" w:space="0" w:color="auto"/>
        <w:bottom w:val="none" w:sz="0" w:space="0" w:color="auto"/>
        <w:right w:val="none" w:sz="0" w:space="0" w:color="auto"/>
      </w:divBdr>
    </w:div>
    <w:div w:id="844248874">
      <w:marLeft w:val="0"/>
      <w:marRight w:val="0"/>
      <w:marTop w:val="0"/>
      <w:marBottom w:val="0"/>
      <w:divBdr>
        <w:top w:val="none" w:sz="0" w:space="0" w:color="auto"/>
        <w:left w:val="none" w:sz="0" w:space="0" w:color="auto"/>
        <w:bottom w:val="none" w:sz="0" w:space="0" w:color="auto"/>
        <w:right w:val="none" w:sz="0" w:space="0" w:color="auto"/>
      </w:divBdr>
    </w:div>
    <w:div w:id="844248875">
      <w:marLeft w:val="0"/>
      <w:marRight w:val="0"/>
      <w:marTop w:val="0"/>
      <w:marBottom w:val="0"/>
      <w:divBdr>
        <w:top w:val="none" w:sz="0" w:space="0" w:color="auto"/>
        <w:left w:val="none" w:sz="0" w:space="0" w:color="auto"/>
        <w:bottom w:val="none" w:sz="0" w:space="0" w:color="auto"/>
        <w:right w:val="none" w:sz="0" w:space="0" w:color="auto"/>
      </w:divBdr>
    </w:div>
    <w:div w:id="844248876">
      <w:marLeft w:val="0"/>
      <w:marRight w:val="0"/>
      <w:marTop w:val="0"/>
      <w:marBottom w:val="0"/>
      <w:divBdr>
        <w:top w:val="none" w:sz="0" w:space="0" w:color="auto"/>
        <w:left w:val="none" w:sz="0" w:space="0" w:color="auto"/>
        <w:bottom w:val="none" w:sz="0" w:space="0" w:color="auto"/>
        <w:right w:val="none" w:sz="0" w:space="0" w:color="auto"/>
      </w:divBdr>
    </w:div>
    <w:div w:id="844248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443</Words>
  <Characters>2526</Characters>
  <Application>Microsoft Office Word</Application>
  <DocSecurity>0</DocSecurity>
  <Lines>21</Lines>
  <Paragraphs>5</Paragraphs>
  <ScaleCrop>false</ScaleCrop>
  <Company>Microsoft</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广西中医药大学第一附属医院</dc:title>
  <dc:creator>Administrator</dc:creator>
  <cp:lastModifiedBy>lenovo</cp:lastModifiedBy>
  <cp:revision>4</cp:revision>
  <cp:lastPrinted>2020-10-16T03:23:00Z</cp:lastPrinted>
  <dcterms:created xsi:type="dcterms:W3CDTF">2023-01-09T03:30:00Z</dcterms:created>
  <dcterms:modified xsi:type="dcterms:W3CDTF">2023-01-09T03:32:00Z</dcterms:modified>
</cp:coreProperties>
</file>