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089C29">
      <w:pPr>
        <w:jc w:val="left"/>
        <w:rPr>
          <w:rFonts w:hint="default" w:ascii="方正小标宋_GBK" w:hAnsi="微软雅黑" w:eastAsia="方正小标宋_GBK" w:cs="微软雅黑"/>
          <w:bCs/>
          <w:color w:val="auto"/>
          <w:sz w:val="28"/>
          <w:szCs w:val="28"/>
          <w:highlight w:val="none"/>
          <w:shd w:val="clear" w:color="auto" w:fill="FFFFFF"/>
          <w:lang w:val="en-US" w:eastAsia="zh-CN"/>
        </w:rPr>
      </w:pPr>
      <w:r>
        <w:rPr>
          <w:rFonts w:hint="eastAsia" w:ascii="方正小标宋_GBK" w:hAnsi="微软雅黑" w:eastAsia="方正小标宋_GBK" w:cs="微软雅黑"/>
          <w:bCs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附件2</w:t>
      </w:r>
    </w:p>
    <w:p w14:paraId="6C37D6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Cs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公文小标宋" w:hAnsi="方正公文小标宋" w:eastAsia="方正公文小标宋" w:cs="方正公文小标宋"/>
          <w:bCs/>
          <w:color w:val="auto"/>
          <w:sz w:val="44"/>
          <w:szCs w:val="44"/>
          <w:highlight w:val="none"/>
          <w:shd w:val="clear" w:color="auto" w:fill="FFFFFF"/>
        </w:rPr>
        <w:t>广西中医药大学第一附属医院</w:t>
      </w:r>
    </w:p>
    <w:p w14:paraId="607B1A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Cs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公文小标宋" w:hAnsi="方正公文小标宋" w:eastAsia="方正公文小标宋" w:cs="方正公文小标宋"/>
          <w:bCs/>
          <w:color w:val="auto"/>
          <w:sz w:val="44"/>
          <w:szCs w:val="44"/>
          <w:highlight w:val="none"/>
          <w:shd w:val="clear" w:color="auto" w:fill="FFFFFF"/>
        </w:rPr>
        <w:t>中医住院医师规范化培训基地</w:t>
      </w:r>
    </w:p>
    <w:p w14:paraId="4CA17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center"/>
        <w:textAlignment w:val="auto"/>
        <w:rPr>
          <w:rFonts w:hint="eastAsia" w:ascii="方正小标宋_GBK" w:hAnsi="微软雅黑" w:eastAsia="方正小标宋_GBK" w:cs="微软雅黑"/>
          <w:bCs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公文小标宋" w:hAnsi="方正公文小标宋" w:eastAsia="方正公文小标宋" w:cs="方正公文小标宋"/>
          <w:bCs/>
          <w:color w:val="auto"/>
          <w:sz w:val="44"/>
          <w:szCs w:val="44"/>
          <w:highlight w:val="none"/>
          <w:shd w:val="clear" w:color="auto" w:fill="FFFFFF"/>
          <w:lang w:val="en-US" w:eastAsia="zh-CN"/>
        </w:rPr>
        <w:t>专业理论考核</w:t>
      </w:r>
      <w:r>
        <w:rPr>
          <w:rFonts w:hint="eastAsia" w:ascii="方正公文小标宋" w:hAnsi="方正公文小标宋" w:eastAsia="方正公文小标宋" w:cs="方正公文小标宋"/>
          <w:bCs/>
          <w:color w:val="auto"/>
          <w:sz w:val="44"/>
          <w:szCs w:val="44"/>
          <w:highlight w:val="none"/>
          <w:shd w:val="clear" w:color="auto" w:fill="FFFFFF"/>
        </w:rPr>
        <w:t>手机操作流程</w:t>
      </w:r>
    </w:p>
    <w:p w14:paraId="3872C21B">
      <w:pPr>
        <w:ind w:firstLine="645"/>
        <w:jc w:val="left"/>
        <w:rPr>
          <w:rFonts w:ascii="黑体" w:hAnsi="黑体" w:eastAsia="黑体"/>
          <w:bCs/>
          <w:color w:val="auto"/>
          <w:sz w:val="32"/>
          <w:szCs w:val="32"/>
          <w:highlight w:val="none"/>
        </w:rPr>
      </w:pPr>
      <w:bookmarkStart w:id="0" w:name="_Toc518738806"/>
      <w:r>
        <w:rPr>
          <w:rFonts w:hint="eastAsia" w:ascii="黑体" w:hAnsi="黑体" w:eastAsia="黑体"/>
          <w:bCs/>
          <w:color w:val="auto"/>
          <w:sz w:val="32"/>
          <w:szCs w:val="32"/>
          <w:highlight w:val="none"/>
        </w:rPr>
        <w:t>一、考试系统安装</w:t>
      </w:r>
      <w:bookmarkEnd w:id="0"/>
    </w:p>
    <w:p w14:paraId="5EB4D12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="0" w:right="0" w:firstLine="640" w:firstLineChars="200"/>
        <w:jc w:val="both"/>
        <w:textAlignment w:val="baseline"/>
        <w:rPr>
          <w:rFonts w:hint="eastAsia" w:ascii="仿宋_GB2312" w:hAnsi="宋体" w:eastAsia="仿宋_GB2312"/>
          <w:bCs/>
          <w:color w:val="auto"/>
          <w:sz w:val="32"/>
          <w:szCs w:val="32"/>
          <w:highlight w:val="none"/>
        </w:rPr>
      </w:pPr>
      <w:r>
        <w:rPr>
          <w:rFonts w:hint="eastAsia" w:ascii="仿宋_GB2312" w:hAnsi="宋体" w:eastAsia="仿宋_GB2312"/>
          <w:bCs/>
          <w:color w:val="auto"/>
          <w:sz w:val="32"/>
          <w:szCs w:val="32"/>
          <w:highlight w:val="none"/>
        </w:rPr>
        <w:t>考生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使用</w:t>
      </w:r>
      <w:r>
        <w:rPr>
          <w:rFonts w:hint="eastAsia" w:ascii="仿宋_GB2312" w:hAnsi="宋体" w:eastAsia="仿宋_GB2312"/>
          <w:bCs/>
          <w:color w:val="auto"/>
          <w:sz w:val="32"/>
          <w:szCs w:val="32"/>
          <w:highlight w:val="none"/>
        </w:rPr>
        <w:t>手机浏览器打开</w:t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"http://www.imed.org.cn" </w:instrText>
      </w:r>
      <w:r>
        <w:rPr>
          <w:color w:val="auto"/>
          <w:highlight w:val="none"/>
        </w:rPr>
        <w:fldChar w:fldCharType="separate"/>
      </w:r>
      <w:r>
        <w:rPr>
          <w:rFonts w:hint="eastAsia" w:ascii="仿宋_GB2312" w:hAnsi="宋体" w:eastAsia="仿宋_GB2312"/>
          <w:bCs/>
          <w:color w:val="auto"/>
          <w:sz w:val="32"/>
          <w:szCs w:val="32"/>
          <w:highlight w:val="none"/>
        </w:rPr>
        <w:t>www.imed.org.cn</w:t>
      </w:r>
      <w:r>
        <w:rPr>
          <w:rFonts w:hint="eastAsia" w:ascii="仿宋_GB2312" w:hAnsi="宋体" w:eastAsia="仿宋_GB2312"/>
          <w:bCs/>
          <w:color w:val="auto"/>
          <w:sz w:val="32"/>
          <w:szCs w:val="32"/>
          <w:highlight w:val="none"/>
        </w:rPr>
        <w:fldChar w:fldCharType="end"/>
      </w:r>
      <w:r>
        <w:rPr>
          <w:rFonts w:hint="eastAsia" w:ascii="仿宋_GB2312" w:hAnsi="宋体" w:eastAsia="仿宋_GB2312"/>
          <w:bCs/>
          <w:color w:val="auto"/>
          <w:sz w:val="32"/>
          <w:szCs w:val="32"/>
          <w:highlight w:val="none"/>
        </w:rPr>
        <w:t>，选择“客户端下载”栏目，选择对应版本即可下载考试端（国家医学电子书包APP）。或者直接扫描下方二维码进行下载：</w:t>
      </w:r>
    </w:p>
    <w:p w14:paraId="076AA3F7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="0" w:right="0" w:firstLine="640" w:firstLineChars="200"/>
        <w:jc w:val="both"/>
        <w:textAlignment w:val="baseline"/>
        <w:rPr>
          <w:rFonts w:ascii="黑体" w:hAnsi="黑体" w:eastAsia="黑体"/>
          <w:bCs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/>
          <w:bCs/>
          <w:color w:val="auto"/>
          <w:sz w:val="32"/>
          <w:szCs w:val="32"/>
          <w:highlight w:val="none"/>
        </w:rPr>
        <w:t>二、注册与登录</w:t>
      </w:r>
    </w:p>
    <w:p w14:paraId="2A453DA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="0" w:right="0" w:firstLine="640" w:firstLineChars="200"/>
        <w:jc w:val="both"/>
        <w:textAlignment w:val="baseline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考生需提前安装好手机考考试端App，自行用手机号码进行注册账号并登录，已经有账号的可直接登录，忽略注册账号流程。</w:t>
      </w:r>
    </w:p>
    <w:p w14:paraId="72997BC2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="0" w:right="0" w:firstLine="640" w:firstLineChars="200"/>
        <w:jc w:val="both"/>
        <w:textAlignment w:val="baseline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注册账号流程如下：</w:t>
      </w:r>
    </w:p>
    <w:p w14:paraId="3FF31D27">
      <w:pPr>
        <w:jc w:val="center"/>
        <w:rPr>
          <w:rFonts w:ascii="宋体" w:hAnsi="宋体" w:cs="宋体"/>
          <w:color w:val="auto"/>
          <w:kern w:val="0"/>
          <w:szCs w:val="21"/>
          <w:highlight w:val="none"/>
        </w:rPr>
      </w:pPr>
      <w:r>
        <w:rPr>
          <w:rFonts w:ascii="微软雅黑" w:hAnsi="微软雅黑" w:cs="微软雅黑"/>
          <w:color w:val="auto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527050</wp:posOffset>
                </wp:positionV>
                <wp:extent cx="156845" cy="1807845"/>
                <wp:effectExtent l="19050" t="0" r="1905" b="338455"/>
                <wp:wrapNone/>
                <wp:docPr id="30" name="曲线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56845" cy="1807845"/>
                        </a:xfrm>
                        <a:prstGeom prst="curvedConnector3">
                          <a:avLst>
                            <a:gd name="adj1" fmla="val 292382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8" type="#_x0000_t38" style="position:absolute;left:0pt;flip:x;margin-left:256.5pt;margin-top:41.5pt;height:142.35pt;width:12.35pt;rotation:5898240f;z-index:251660288;mso-width-relative:page;mso-height-relative:page;" filled="f" stroked="t" coordsize="21600,21600" o:gfxdata="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G&#10;Y/rL2QAAAAoBAAAPAAAAAAAAAAEAIAAAACIAAABkcnMvZG93bnJldi54bWxQSwECFAAUAAAACACH&#10;TuJA9yp3+FwCAACPBAAADgAAAAAAAAABACAAAAAoAQAAZHJzL2Uyb0RvYy54bWxQSwUGAAAAAAYA&#10;BgBZAQAA9gUAAAAA&#10;" adj="63155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cs="微软雅黑"/>
          <w:color w:val="auto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1710055</wp:posOffset>
                </wp:positionV>
                <wp:extent cx="1093470" cy="642620"/>
                <wp:effectExtent l="19050" t="0" r="62230" b="11430"/>
                <wp:wrapNone/>
                <wp:docPr id="6" name="曲线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093470" cy="642620"/>
                        </a:xfrm>
                        <a:prstGeom prst="curvedConnector3">
                          <a:avLst>
                            <a:gd name="adj1" fmla="val 7532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8" type="#_x0000_t38" style="position:absolute;left:0pt;margin-left:95.75pt;margin-top:134.65pt;height:50.6pt;width:86.1pt;rotation:-5898240f;z-index:251660288;mso-width-relative:page;mso-height-relative:page;" filled="f" stroked="t" coordsize="21600,21600" o:gfxdata="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y26bTXAAAACwEA&#10;AA8AAAAAAAAAAQAgAAAAIgAAAGRycy9kb3ducmV2LnhtbFBLAQIUABQAAAAIAIdO4kCEaieAVAIA&#10;AIEEAAAOAAAAAAAAAAEAIAAAACYBAABkcnMvZTJvRG9jLnhtbFBLBQYAAAAABgAGAFkBAADsBQAA&#10;AAA=&#10;" adj="1627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auto"/>
          <w:highlight w:val="none"/>
        </w:rPr>
        <w:drawing>
          <wp:inline distT="0" distB="0" distL="0" distR="0">
            <wp:extent cx="1636395" cy="3712210"/>
            <wp:effectExtent l="0" t="0" r="190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639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kern w:val="0"/>
          <w:szCs w:val="21"/>
          <w:highlight w:val="none"/>
        </w:rPr>
        <w:drawing>
          <wp:inline distT="0" distB="0" distL="0" distR="0">
            <wp:extent cx="1639570" cy="3677285"/>
            <wp:effectExtent l="0" t="0" r="17780" b="18415"/>
            <wp:docPr id="1225" name="图片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图片 12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908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auto"/>
          <w:kern w:val="0"/>
          <w:szCs w:val="21"/>
          <w:highlight w:val="none"/>
        </w:rPr>
        <w:drawing>
          <wp:inline distT="0" distB="0" distL="0" distR="0">
            <wp:extent cx="1643380" cy="3712210"/>
            <wp:effectExtent l="0" t="0" r="1397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464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B525D">
      <w:pPr>
        <w:spacing w:line="360" w:lineRule="auto"/>
        <w:jc w:val="left"/>
        <w:rPr>
          <w:rFonts w:ascii="微软雅黑" w:hAnsi="微软雅黑"/>
          <w:color w:val="auto"/>
          <w:szCs w:val="21"/>
          <w:highlight w:val="none"/>
        </w:rPr>
      </w:pPr>
    </w:p>
    <w:p w14:paraId="37A6ED63">
      <w:pPr>
        <w:ind w:firstLine="640" w:firstLineChars="200"/>
        <w:jc w:val="left"/>
        <w:rPr>
          <w:rFonts w:hint="eastAsia" w:ascii="仿宋_GB2312" w:hAnsi="宋体" w:eastAsia="仿宋_GB2312" w:cs="仿宋"/>
          <w:bCs/>
          <w:color w:val="auto"/>
          <w:kern w:val="2"/>
          <w:sz w:val="32"/>
          <w:szCs w:val="32"/>
          <w:highlight w:val="none"/>
          <w:lang w:val="en-US" w:eastAsia="en-US" w:bidi="ar-SA"/>
        </w:rPr>
      </w:pPr>
      <w:bookmarkStart w:id="1" w:name="_GoBack"/>
      <w:bookmarkEnd w:id="1"/>
      <w:r>
        <w:rPr>
          <w:rFonts w:hint="eastAsia" w:ascii="仿宋_GB2312" w:hAnsi="宋体" w:eastAsia="仿宋_GB2312" w:cs="仿宋"/>
          <w:bCs/>
          <w:color w:val="auto"/>
          <w:kern w:val="2"/>
          <w:sz w:val="32"/>
          <w:szCs w:val="32"/>
          <w:highlight w:val="none"/>
          <w:lang w:val="en-US" w:eastAsia="en-US" w:bidi="ar-SA"/>
        </w:rPr>
        <w:t>3、登录成功后点击下方“考试”菜单，进入考试系统。</w:t>
      </w:r>
    </w:p>
    <w:p w14:paraId="6071DD0C">
      <w:pPr>
        <w:spacing w:line="360" w:lineRule="auto"/>
        <w:jc w:val="left"/>
        <w:rPr>
          <w:rFonts w:ascii="微软雅黑" w:hAnsi="微软雅黑"/>
          <w:b/>
          <w:color w:val="auto"/>
          <w:szCs w:val="21"/>
          <w:highlight w:val="none"/>
        </w:rPr>
      </w:pPr>
      <w:r>
        <w:rPr>
          <w:rFonts w:ascii="微软雅黑" w:hAnsi="微软雅黑"/>
          <w:b/>
          <w:color w:val="auto"/>
          <w:szCs w:val="21"/>
          <w:highlight w:val="none"/>
        </w:rPr>
        <w:t>a)</w:t>
      </w:r>
      <w:r>
        <w:rPr>
          <w:color w:val="auto"/>
          <w:highlight w:val="none"/>
        </w:rPr>
        <w:drawing>
          <wp:inline distT="0" distB="0" distL="0" distR="0">
            <wp:extent cx="1327150" cy="275272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685" cy="27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b/>
          <w:color w:val="auto"/>
          <w:szCs w:val="21"/>
          <w:highlight w:val="none"/>
        </w:rPr>
        <w:t>b</w:t>
      </w:r>
      <w:r>
        <w:rPr>
          <w:rFonts w:hint="eastAsia" w:ascii="微软雅黑" w:hAnsi="微软雅黑"/>
          <w:b/>
          <w:color w:val="auto"/>
          <w:szCs w:val="21"/>
          <w:highlight w:val="none"/>
        </w:rPr>
        <w:t>)</w:t>
      </w:r>
      <w:r>
        <w:rPr>
          <w:color w:val="auto"/>
          <w:highlight w:val="none"/>
        </w:rPr>
        <w:drawing>
          <wp:inline distT="0" distB="0" distL="114300" distR="114300">
            <wp:extent cx="1447800" cy="2756535"/>
            <wp:effectExtent l="0" t="0" r="0" b="57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/>
          <w:b/>
          <w:color w:val="auto"/>
          <w:szCs w:val="21"/>
          <w:highlight w:val="none"/>
        </w:rPr>
        <w:t>C</w:t>
      </w:r>
      <w:r>
        <w:rPr>
          <w:rFonts w:hint="eastAsia" w:ascii="微软雅黑" w:hAnsi="微软雅黑"/>
          <w:b/>
          <w:color w:val="auto"/>
          <w:szCs w:val="21"/>
          <w:highlight w:val="none"/>
        </w:rPr>
        <w:t>）</w:t>
      </w:r>
      <w:r>
        <w:rPr>
          <w:color w:val="auto"/>
          <w:highlight w:val="none"/>
        </w:rPr>
        <w:drawing>
          <wp:inline distT="0" distB="0" distL="0" distR="0">
            <wp:extent cx="1626870" cy="2879725"/>
            <wp:effectExtent l="0" t="0" r="1143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17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0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hint="eastAsia" w:ascii="仿宋_GB2312" w:hAnsi="宋体" w:eastAsia="仿宋_GB2312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宋体" w:eastAsia="仿宋_GB2312" w:cs="仿宋"/>
          <w:bCs/>
          <w:color w:val="auto"/>
          <w:kern w:val="2"/>
          <w:sz w:val="32"/>
          <w:szCs w:val="32"/>
          <w:highlight w:val="none"/>
          <w:lang w:val="en-US" w:eastAsia="en-US" w:bidi="ar-SA"/>
        </w:rPr>
        <w:t>4、输入相应的考试码进入信息采集和测试练习（姓名、</w:t>
      </w:r>
      <w:r>
        <w:rPr>
          <w:rFonts w:hint="eastAsia" w:ascii="仿宋_GB2312" w:hAnsi="宋体" w:eastAsia="仿宋_GB2312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性别、手机号</w:t>
      </w:r>
      <w:r>
        <w:rPr>
          <w:rFonts w:hint="eastAsia" w:ascii="仿宋_GB2312" w:hAnsi="宋体" w:eastAsia="仿宋_GB2312" w:cs="仿宋"/>
          <w:bCs/>
          <w:color w:val="auto"/>
          <w:kern w:val="2"/>
          <w:sz w:val="32"/>
          <w:szCs w:val="32"/>
          <w:highlight w:val="none"/>
          <w:lang w:val="en-US" w:eastAsia="en-US" w:bidi="ar-SA"/>
        </w:rPr>
        <w:t>、身份证号码</w:t>
      </w:r>
      <w:r>
        <w:rPr>
          <w:rFonts w:hint="eastAsia" w:ascii="仿宋_GB2312" w:hAnsi="宋体" w:eastAsia="仿宋_GB2312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、准考证号），</w:t>
      </w:r>
      <w:r>
        <w:rPr>
          <w:rFonts w:hint="eastAsia" w:ascii="仿宋_GB2312" w:hAnsi="宋体" w:eastAsia="仿宋_GB2312" w:cs="仿宋"/>
          <w:bCs/>
          <w:color w:val="auto"/>
          <w:kern w:val="2"/>
          <w:sz w:val="32"/>
          <w:szCs w:val="32"/>
          <w:highlight w:val="none"/>
          <w:lang w:val="en-US" w:eastAsia="en-US" w:bidi="ar-SA"/>
        </w:rPr>
        <w:t>为必填项目</w:t>
      </w:r>
      <w:r>
        <w:rPr>
          <w:rFonts w:hint="eastAsia" w:ascii="仿宋_GB2312" w:hAnsi="宋体" w:eastAsia="仿宋_GB2312" w:cs="仿宋"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。</w:t>
      </w:r>
    </w:p>
    <w:p w14:paraId="32A3C675">
      <w:pPr>
        <w:rPr>
          <w:rFonts w:hint="eastAsia" w:eastAsia="微软雅黑" w:asciiTheme="majorHAnsi" w:hAnsiTheme="majorHAnsi" w:cstheme="majorBidi"/>
          <w:b/>
          <w:bCs/>
          <w:color w:val="auto"/>
          <w:sz w:val="28"/>
          <w:szCs w:val="32"/>
          <w:highlight w:val="none"/>
          <w:lang w:eastAsia="zh-CN"/>
        </w:rPr>
      </w:pPr>
      <w:r>
        <w:rPr>
          <w:rFonts w:hint="eastAsia" w:eastAsia="微软雅黑" w:asciiTheme="majorHAnsi" w:hAnsiTheme="majorHAnsi" w:cstheme="majorBidi"/>
          <w:b/>
          <w:bCs/>
          <w:color w:val="auto"/>
          <w:sz w:val="28"/>
          <w:szCs w:val="32"/>
          <w:highlight w:val="none"/>
          <w:lang w:eastAsia="zh-CN"/>
        </w:rPr>
        <w:drawing>
          <wp:inline distT="0" distB="0" distL="114300" distR="114300">
            <wp:extent cx="2281555" cy="3839845"/>
            <wp:effectExtent l="0" t="0" r="4445" b="8255"/>
            <wp:docPr id="1" name="图片 1" descr="c24f3569461699a94d9e4aa9289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4f3569461699a94d9e4aa928981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92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ascii="仿宋_GB2312" w:hAnsi="宋体" w:eastAsia="仿宋_GB2312"/>
          <w:bCs/>
          <w:color w:val="auto"/>
          <w:sz w:val="32"/>
          <w:szCs w:val="32"/>
          <w:highlight w:val="none"/>
        </w:rPr>
      </w:pPr>
      <w:r>
        <w:rPr>
          <w:rFonts w:hint="eastAsia" w:ascii="仿宋_GB2312" w:hAnsi="宋体" w:eastAsia="仿宋_GB2312"/>
          <w:bCs/>
          <w:color w:val="auto"/>
          <w:sz w:val="32"/>
          <w:szCs w:val="32"/>
          <w:highlight w:val="none"/>
        </w:rPr>
        <w:t>5、确认信息无误后提交开始系统测试。</w:t>
      </w:r>
    </w:p>
    <w:p w14:paraId="6B599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0" w:firstLineChars="200"/>
        <w:jc w:val="left"/>
        <w:textAlignment w:val="auto"/>
        <w:rPr>
          <w:rFonts w:ascii="仿宋_GB2312" w:hAnsi="宋体" w:eastAsia="仿宋_GB2312"/>
          <w:bCs/>
          <w:color w:val="auto"/>
          <w:sz w:val="32"/>
          <w:szCs w:val="32"/>
          <w:highlight w:val="none"/>
        </w:rPr>
      </w:pPr>
      <w:r>
        <w:rPr>
          <w:rFonts w:hint="eastAsia" w:ascii="仿宋_GB2312" w:hAnsi="宋体" w:eastAsia="仿宋_GB2312"/>
          <w:bCs/>
          <w:color w:val="auto"/>
          <w:sz w:val="32"/>
          <w:szCs w:val="32"/>
          <w:highlight w:val="none"/>
        </w:rPr>
        <w:t>6、试题作答完毕后，点击交卷按钮，点击确认提交试卷，提示试卷提交成功即完成本场考试。看到如下界面即表示试卷提交成功（点击确认后回到首页）：</w:t>
      </w:r>
    </w:p>
    <w:p w14:paraId="6A2E983D">
      <w:pPr>
        <w:ind w:firstLine="640" w:firstLineChars="200"/>
        <w:jc w:val="lef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ascii="仿宋_GB2312" w:hAnsi="宋体" w:eastAsia="仿宋_GB2312"/>
          <w:bCs/>
          <w:color w:val="auto"/>
          <w:sz w:val="32"/>
          <w:szCs w:val="32"/>
          <w:highlight w:val="none"/>
        </w:rPr>
        <w:drawing>
          <wp:inline distT="0" distB="0" distL="0" distR="0">
            <wp:extent cx="2127250" cy="2588260"/>
            <wp:effectExtent l="0" t="0" r="635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35" cy="25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E4304"/>
    <w:sectPr>
      <w:footerReference r:id="rId3" w:type="default"/>
      <w:pgSz w:w="11906" w:h="16838"/>
      <w:pgMar w:top="1701" w:right="1418" w:bottom="1497" w:left="170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CF893A0-A9B2-4577-B88F-86B5C875DFC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5C266CC2-90F8-49A3-AE45-391FB8419881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2C1DE7B4-56D9-45E5-9FBE-14C669031A7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52FB0777-3FEF-410E-9056-1E04FA29520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F16C9AB4-660D-4A3D-B105-D5D9AE712204}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  <w:embedRegular r:id="rId6" w:fontKey="{AB2F08FE-763B-4F9A-831C-B628DE70178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3630CE1C-1F97-4F8B-8D95-D9F6398EE868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8" w:fontKey="{BB57EC6D-FC86-4F5C-AEAA-C8252A7F82C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E08B86F9-B562-4FAD-A9FD-61AB8D912C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65A1C8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5624D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5624D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E21524"/>
    <w:rsid w:val="34E2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2025-04-09T03:43:00Z</dcterms:created>
  <dc:creator>娴</dc:creator>
  <cp:lastModifiedBy>娴</cp:lastModifiedBy>
  <dcterms:modified xsi:type="dcterms:W3CDTF">2025-04-09T05:35:23Z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623F91B5AB1A42DCAB6B69D77B49AB79_11</vt:lpwstr>
  </property>
  <property fmtid="{D5CDD505-2E9C-101B-9397-08002B2CF9AE}" pid="4" name="KSOTemplateDocerSaveRecord">
    <vt:lpwstr>eyJoZGlkIjoiMTU1NjViMWVlYzM4YzQ5ZWFmNzc4NDg5ZmViODY2MzYiLCJ1c2VySWQiOiIyMzMyNTMyMTMifQ==</vt:lpwstr>
  </property>
</Properties>
</file>