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pPr w:leftFromText="180" w:rightFromText="180" w:horzAnchor="margin" w:tblpX="-743" w:tblpY="55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050"/>
        <w:gridCol w:w="10887"/>
        <w:gridCol w:w="982"/>
        <w:gridCol w:w="1021"/>
      </w:tblGrid>
      <w:tr w14:paraId="10EED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4709" w:type="dxa"/>
            <w:gridSpan w:val="5"/>
            <w:vAlign w:val="center"/>
          </w:tcPr>
          <w:p w14:paraId="407DE84D">
            <w:pPr>
              <w:jc w:val="center"/>
              <w:rPr>
                <w:rFonts w:hint="eastAsia" w:ascii="宋体" w:hAnsi="宋体" w:eastAsia="宋体" w:cs="宋体"/>
                <w:b/>
                <w:bCs/>
                <w:i w:val="0"/>
                <w:iCs w:val="0"/>
                <w:caps w:val="0"/>
                <w:color w:val="000000"/>
                <w:spacing w:val="0"/>
                <w:sz w:val="30"/>
                <w:szCs w:val="30"/>
              </w:rPr>
            </w:pPr>
            <w:r>
              <w:rPr>
                <w:rFonts w:hint="eastAsia" w:ascii="宋体" w:hAnsi="宋体" w:eastAsia="宋体" w:cs="宋体"/>
                <w:b/>
                <w:bCs/>
                <w:i w:val="0"/>
                <w:iCs w:val="0"/>
                <w:caps w:val="0"/>
                <w:color w:val="000000"/>
                <w:spacing w:val="0"/>
                <w:sz w:val="30"/>
                <w:szCs w:val="30"/>
              </w:rPr>
              <w:t>广西中医药大学第一附属医院</w:t>
            </w:r>
          </w:p>
          <w:p w14:paraId="3CFB0416">
            <w:pPr>
              <w:jc w:val="center"/>
              <w:rPr>
                <w:rFonts w:asciiTheme="minorEastAsia" w:hAnsiTheme="minorEastAsia"/>
                <w:sz w:val="32"/>
                <w:szCs w:val="32"/>
              </w:rPr>
            </w:pPr>
            <w:r>
              <w:rPr>
                <w:rFonts w:hint="eastAsia" w:ascii="宋体" w:hAnsi="宋体" w:eastAsia="宋体" w:cs="宋体"/>
                <w:b/>
                <w:bCs/>
                <w:i w:val="0"/>
                <w:iCs w:val="0"/>
                <w:caps w:val="0"/>
                <w:color w:val="000000"/>
                <w:spacing w:val="0"/>
                <w:sz w:val="30"/>
                <w:szCs w:val="30"/>
              </w:rPr>
              <w:t>采购需求</w:t>
            </w:r>
          </w:p>
        </w:tc>
      </w:tr>
      <w:tr w14:paraId="23C01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4709" w:type="dxa"/>
            <w:gridSpan w:val="5"/>
            <w:vAlign w:val="center"/>
          </w:tcPr>
          <w:p w14:paraId="2701B3BC">
            <w:pPr>
              <w:jc w:val="left"/>
              <w:rPr>
                <w:rFonts w:hint="eastAsia" w:asciiTheme="minorEastAsia" w:hAnsiTheme="minorEastAsia" w:eastAsiaTheme="minorEastAsia"/>
                <w:sz w:val="32"/>
                <w:szCs w:val="32"/>
                <w:lang w:val="en-US" w:eastAsia="zh-CN"/>
              </w:rPr>
            </w:pPr>
            <w:r>
              <w:rPr>
                <w:rFonts w:hint="eastAsia" w:ascii="宋体" w:hAnsi="宋体" w:eastAsia="宋体" w:cs="宋体"/>
                <w:b/>
                <w:bCs/>
                <w:i w:val="0"/>
                <w:iCs w:val="0"/>
                <w:caps w:val="0"/>
                <w:color w:val="000000"/>
                <w:spacing w:val="0"/>
                <w:sz w:val="30"/>
                <w:szCs w:val="30"/>
              </w:rPr>
              <w:t>一、项目名称：全闪集中式存储设备项目</w:t>
            </w:r>
          </w:p>
        </w:tc>
      </w:tr>
      <w:tr w14:paraId="08F8E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4709" w:type="dxa"/>
            <w:gridSpan w:val="5"/>
            <w:vAlign w:val="center"/>
          </w:tcPr>
          <w:p w14:paraId="383381A6">
            <w:pPr>
              <w:jc w:val="left"/>
              <w:rPr>
                <w:rFonts w:hint="eastAsia" w:ascii="宋体" w:hAnsi="宋体" w:eastAsia="宋体" w:cs="宋体"/>
                <w:b/>
                <w:bCs/>
                <w:i w:val="0"/>
                <w:iCs w:val="0"/>
                <w:caps w:val="0"/>
                <w:color w:val="000000"/>
                <w:spacing w:val="0"/>
                <w:sz w:val="30"/>
                <w:szCs w:val="30"/>
                <w:lang w:val="en-US" w:eastAsia="zh-CN"/>
              </w:rPr>
            </w:pPr>
            <w:r>
              <w:rPr>
                <w:rFonts w:hint="eastAsia" w:ascii="宋体" w:hAnsi="宋体" w:eastAsia="宋体" w:cs="宋体"/>
                <w:b/>
                <w:bCs/>
                <w:i w:val="0"/>
                <w:iCs w:val="0"/>
                <w:caps w:val="0"/>
                <w:color w:val="000000"/>
                <w:spacing w:val="0"/>
                <w:sz w:val="30"/>
                <w:szCs w:val="30"/>
                <w:lang w:val="en-US" w:eastAsia="zh-CN"/>
              </w:rPr>
              <w:t>二</w:t>
            </w:r>
            <w:r>
              <w:rPr>
                <w:rFonts w:hint="eastAsia" w:ascii="宋体" w:hAnsi="宋体" w:eastAsia="宋体" w:cs="宋体"/>
                <w:b/>
                <w:bCs/>
                <w:i w:val="0"/>
                <w:iCs w:val="0"/>
                <w:caps w:val="0"/>
                <w:color w:val="000000"/>
                <w:spacing w:val="0"/>
                <w:sz w:val="30"/>
                <w:szCs w:val="30"/>
              </w:rPr>
              <w:t>、总体要求</w:t>
            </w:r>
          </w:p>
        </w:tc>
      </w:tr>
      <w:tr w14:paraId="7533F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8" w:hRule="atLeast"/>
        </w:trPr>
        <w:tc>
          <w:tcPr>
            <w:tcW w:w="14709" w:type="dxa"/>
            <w:gridSpan w:val="5"/>
            <w:vAlign w:val="center"/>
          </w:tcPr>
          <w:p w14:paraId="4079A53C">
            <w:pPr>
              <w:pStyle w:val="2"/>
              <w:rPr>
                <w:rFonts w:ascii="宋体" w:hAnsi="宋体" w:eastAsia="宋体" w:cs="宋体"/>
                <w:color w:val="000000" w:themeColor="text1"/>
                <w:kern w:val="0"/>
                <w:lang w:bidi="ar"/>
                <w14:textFill>
                  <w14:solidFill>
                    <w14:schemeClr w14:val="tx1"/>
                  </w14:solidFill>
                </w14:textFill>
              </w:rPr>
            </w:pPr>
            <w:r>
              <w:rPr>
                <w:rFonts w:hint="eastAsia" w:ascii="宋体" w:hAnsi="宋体" w:eastAsia="宋体" w:cs="宋体"/>
                <w:color w:val="000000" w:themeColor="text1"/>
                <w:kern w:val="0"/>
                <w:lang w:bidi="ar"/>
                <w14:textFill>
                  <w14:solidFill>
                    <w14:schemeClr w14:val="tx1"/>
                  </w14:solidFill>
                </w14:textFill>
              </w:rPr>
              <w:t>1.满足医院</w:t>
            </w:r>
            <w:r>
              <w:rPr>
                <w:rFonts w:ascii="宋体" w:hAnsi="宋体" w:eastAsia="宋体" w:cs="宋体"/>
                <w:color w:val="000000" w:themeColor="text1"/>
                <w:kern w:val="0"/>
                <w:lang w:bidi="ar"/>
                <w14:textFill>
                  <w14:solidFill>
                    <w14:schemeClr w14:val="tx1"/>
                  </w14:solidFill>
                </w14:textFill>
              </w:rPr>
              <w:t>HIS</w:t>
            </w:r>
            <w:r>
              <w:rPr>
                <w:rFonts w:hint="eastAsia" w:ascii="宋体" w:hAnsi="宋体" w:eastAsia="宋体" w:cs="宋体"/>
                <w:color w:val="000000" w:themeColor="text1"/>
                <w:kern w:val="0"/>
                <w:lang w:bidi="ar"/>
                <w14:textFill>
                  <w14:solidFill>
                    <w14:schemeClr w14:val="tx1"/>
                  </w14:solidFill>
                </w14:textFill>
              </w:rPr>
              <w:t>系统</w:t>
            </w:r>
            <w:r>
              <w:rPr>
                <w:rFonts w:ascii="宋体" w:hAnsi="宋体" w:eastAsia="宋体" w:cs="宋体"/>
                <w:color w:val="000000" w:themeColor="text1"/>
                <w:kern w:val="0"/>
                <w:lang w:bidi="ar"/>
                <w14:textFill>
                  <w14:solidFill>
                    <w14:schemeClr w14:val="tx1"/>
                  </w14:solidFill>
                </w14:textFill>
              </w:rPr>
              <w:t>、</w:t>
            </w:r>
            <w:bookmarkStart w:id="0" w:name="OLE_LINK1"/>
            <w:r>
              <w:rPr>
                <w:rFonts w:ascii="宋体" w:hAnsi="宋体" w:eastAsia="宋体" w:cs="宋体"/>
                <w:color w:val="000000" w:themeColor="text1"/>
                <w:kern w:val="0"/>
                <w:lang w:bidi="ar"/>
                <w14:textFill>
                  <w14:solidFill>
                    <w14:schemeClr w14:val="tx1"/>
                  </w14:solidFill>
                </w14:textFill>
              </w:rPr>
              <w:t>EMR</w:t>
            </w:r>
            <w:bookmarkEnd w:id="0"/>
            <w:r>
              <w:rPr>
                <w:rFonts w:hint="eastAsia" w:ascii="宋体" w:hAnsi="宋体" w:eastAsia="宋体" w:cs="宋体"/>
                <w:color w:val="000000" w:themeColor="text1"/>
                <w:kern w:val="0"/>
                <w:lang w:bidi="ar"/>
                <w14:textFill>
                  <w14:solidFill>
                    <w14:schemeClr w14:val="tx1"/>
                  </w14:solidFill>
                </w14:textFill>
              </w:rPr>
              <w:t>系统</w:t>
            </w:r>
            <w:r>
              <w:rPr>
                <w:rFonts w:ascii="宋体" w:hAnsi="宋体" w:eastAsia="宋体" w:cs="宋体"/>
                <w:color w:val="000000" w:themeColor="text1"/>
                <w:kern w:val="0"/>
                <w:lang w:bidi="ar"/>
                <w14:textFill>
                  <w14:solidFill>
                    <w14:schemeClr w14:val="tx1"/>
                  </w14:solidFill>
                </w14:textFill>
              </w:rPr>
              <w:t>、PACS</w:t>
            </w:r>
            <w:r>
              <w:rPr>
                <w:rFonts w:hint="eastAsia" w:ascii="宋体" w:hAnsi="宋体" w:eastAsia="宋体" w:cs="宋体"/>
                <w:color w:val="000000" w:themeColor="text1"/>
                <w:kern w:val="0"/>
                <w:lang w:bidi="ar"/>
                <w14:textFill>
                  <w14:solidFill>
                    <w14:schemeClr w14:val="tx1"/>
                  </w14:solidFill>
                </w14:textFill>
              </w:rPr>
              <w:t>系统</w:t>
            </w:r>
            <w:r>
              <w:rPr>
                <w:rFonts w:ascii="宋体" w:hAnsi="宋体" w:eastAsia="宋体" w:cs="宋体"/>
                <w:color w:val="000000" w:themeColor="text1"/>
                <w:kern w:val="0"/>
                <w:lang w:bidi="ar"/>
                <w14:textFill>
                  <w14:solidFill>
                    <w14:schemeClr w14:val="tx1"/>
                  </w14:solidFill>
                </w14:textFill>
              </w:rPr>
              <w:t>、LIS</w:t>
            </w:r>
            <w:r>
              <w:rPr>
                <w:rFonts w:hint="eastAsia" w:ascii="宋体" w:hAnsi="宋体" w:eastAsia="宋体" w:cs="宋体"/>
                <w:color w:val="000000" w:themeColor="text1"/>
                <w:kern w:val="0"/>
                <w:lang w:bidi="ar"/>
                <w14:textFill>
                  <w14:solidFill>
                    <w14:schemeClr w14:val="tx1"/>
                  </w14:solidFill>
                </w14:textFill>
              </w:rPr>
              <w:t>系统</w:t>
            </w:r>
            <w:r>
              <w:rPr>
                <w:rFonts w:ascii="宋体" w:hAnsi="宋体" w:eastAsia="宋体" w:cs="宋体"/>
                <w:color w:val="000000" w:themeColor="text1"/>
                <w:kern w:val="0"/>
                <w:lang w:bidi="ar"/>
                <w14:textFill>
                  <w14:solidFill>
                    <w14:schemeClr w14:val="tx1"/>
                  </w14:solidFill>
                </w14:textFill>
              </w:rPr>
              <w:t>等高并发访问需求</w:t>
            </w:r>
            <w:r>
              <w:rPr>
                <w:rFonts w:hint="eastAsia" w:ascii="宋体" w:hAnsi="宋体" w:eastAsia="宋体" w:cs="宋体"/>
                <w:color w:val="000000" w:themeColor="text1"/>
                <w:kern w:val="0"/>
                <w:lang w:bidi="ar"/>
                <w14:textFill>
                  <w14:solidFill>
                    <w14:schemeClr w14:val="tx1"/>
                  </w14:solidFill>
                </w14:textFill>
              </w:rPr>
              <w:t>，</w:t>
            </w:r>
            <w:r>
              <w:rPr>
                <w:rFonts w:ascii="宋体" w:hAnsi="宋体" w:eastAsia="宋体" w:cs="宋体"/>
                <w:color w:val="000000" w:themeColor="text1"/>
                <w:kern w:val="0"/>
                <w:lang w:bidi="ar"/>
                <w14:textFill>
                  <w14:solidFill>
                    <w14:schemeClr w14:val="tx1"/>
                  </w14:solidFill>
                </w14:textFill>
              </w:rPr>
              <w:t>优化数据读写效率</w:t>
            </w:r>
            <w:r>
              <w:rPr>
                <w:rFonts w:hint="eastAsia" w:ascii="宋体" w:hAnsi="宋体" w:eastAsia="宋体" w:cs="宋体"/>
                <w:color w:val="000000" w:themeColor="text1"/>
                <w:kern w:val="0"/>
                <w:lang w:bidi="ar"/>
                <w14:textFill>
                  <w14:solidFill>
                    <w14:schemeClr w14:val="tx1"/>
                  </w14:solidFill>
                </w14:textFill>
              </w:rPr>
              <w:t>，保障核心数据库业务稳定、安全、流畅，</w:t>
            </w:r>
            <w:r>
              <w:rPr>
                <w:rFonts w:ascii="宋体" w:hAnsi="宋体" w:eastAsia="宋体" w:cs="宋体"/>
                <w:color w:val="000000" w:themeColor="text1"/>
                <w:kern w:val="0"/>
                <w:lang w:bidi="ar"/>
                <w14:textFill>
                  <w14:solidFill>
                    <w14:schemeClr w14:val="tx1"/>
                  </w14:solidFill>
                </w14:textFill>
              </w:rPr>
              <w:t>提升整体信息化效能</w:t>
            </w:r>
            <w:r>
              <w:rPr>
                <w:rFonts w:hint="eastAsia" w:ascii="宋体" w:hAnsi="宋体" w:eastAsia="宋体" w:cs="宋体"/>
                <w:color w:val="000000" w:themeColor="text1"/>
                <w:kern w:val="0"/>
                <w:lang w:bidi="ar"/>
                <w14:textFill>
                  <w14:solidFill>
                    <w14:schemeClr w14:val="tx1"/>
                  </w14:solidFill>
                </w14:textFill>
              </w:rPr>
              <w:t>。</w:t>
            </w:r>
          </w:p>
          <w:p w14:paraId="74EA27BB">
            <w:pPr>
              <w:pStyle w:val="2"/>
              <w:rPr>
                <w:rFonts w:ascii="宋体" w:hAnsi="宋体" w:eastAsia="宋体" w:cs="宋体"/>
                <w:color w:val="000000" w:themeColor="text1"/>
                <w:kern w:val="0"/>
                <w:lang w:bidi="ar"/>
                <w14:textFill>
                  <w14:solidFill>
                    <w14:schemeClr w14:val="tx1"/>
                  </w14:solidFill>
                </w14:textFill>
              </w:rPr>
            </w:pPr>
            <w:r>
              <w:rPr>
                <w:rFonts w:hint="eastAsia" w:ascii="宋体" w:hAnsi="宋体" w:eastAsia="宋体" w:cs="宋体"/>
                <w:color w:val="000000" w:themeColor="text1"/>
                <w:kern w:val="0"/>
                <w:lang w:bidi="ar"/>
                <w14:textFill>
                  <w14:solidFill>
                    <w14:schemeClr w14:val="tx1"/>
                  </w14:solidFill>
                </w14:textFill>
              </w:rPr>
              <w:t>2.满足新增业务系统与数据增长需求，支撑未来</w:t>
            </w:r>
            <w:r>
              <w:rPr>
                <w:rFonts w:ascii="宋体" w:hAnsi="宋体" w:eastAsia="宋体" w:cs="宋体"/>
                <w:color w:val="000000" w:themeColor="text1"/>
                <w:kern w:val="0"/>
                <w:lang w:bidi="ar"/>
                <w14:textFill>
                  <w14:solidFill>
                    <w14:schemeClr w14:val="tx1"/>
                  </w14:solidFill>
                </w14:textFill>
              </w:rPr>
              <w:t>临床决策支持、大数据分析等业务扩展</w:t>
            </w:r>
            <w:r>
              <w:rPr>
                <w:rFonts w:hint="eastAsia" w:ascii="宋体" w:hAnsi="宋体" w:eastAsia="宋体" w:cs="宋体"/>
                <w:color w:val="000000" w:themeColor="text1"/>
                <w:kern w:val="0"/>
                <w:lang w:bidi="ar"/>
                <w14:textFill>
                  <w14:solidFill>
                    <w14:schemeClr w14:val="tx1"/>
                  </w14:solidFill>
                </w14:textFill>
              </w:rPr>
              <w:t>。</w:t>
            </w:r>
          </w:p>
          <w:p w14:paraId="00B9797A">
            <w:pPr>
              <w:pStyle w:val="2"/>
              <w:rPr>
                <w:lang w:bidi="ar"/>
              </w:rPr>
            </w:pPr>
            <w:r>
              <w:rPr>
                <w:rFonts w:hint="eastAsia" w:ascii="宋体" w:hAnsi="宋体" w:eastAsia="宋体" w:cs="宋体"/>
                <w:color w:val="000000" w:themeColor="text1"/>
                <w:kern w:val="0"/>
                <w:lang w:bidi="ar"/>
                <w14:textFill>
                  <w14:solidFill>
                    <w14:schemeClr w14:val="tx1"/>
                  </w14:solidFill>
                </w14:textFill>
              </w:rPr>
              <w:t>3.</w:t>
            </w:r>
            <w:r>
              <w:rPr>
                <w:rFonts w:ascii="Segoe UI" w:hAnsi="Segoe UI" w:cs="Segoe UI"/>
                <w:color w:val="000000" w:themeColor="text1"/>
                <w14:textFill>
                  <w14:solidFill>
                    <w14:schemeClr w14:val="tx1"/>
                  </w14:solidFill>
                </w14:textFill>
              </w:rPr>
              <w:t>通过双控机制增强运维监控与风险预警能力，</w:t>
            </w:r>
            <w:r>
              <w:rPr>
                <w:rFonts w:ascii="Segoe UI" w:hAnsi="Segoe UI" w:cs="Segoe UI"/>
                <w:color w:val="404040"/>
              </w:rPr>
              <w:t>确保硬件、数据库及迁移过程稳定可靠。</w:t>
            </w:r>
          </w:p>
          <w:p w14:paraId="4F16505A">
            <w:pPr>
              <w:jc w:val="left"/>
              <w:rPr>
                <w:rFonts w:ascii="宋体" w:hAnsi="宋体" w:eastAsia="宋体" w:cs="宋体"/>
                <w:color w:val="000000"/>
                <w:kern w:val="0"/>
                <w:lang w:bidi="ar"/>
              </w:rPr>
            </w:pPr>
            <w:r>
              <w:rPr>
                <w:rFonts w:hint="eastAsia" w:ascii="宋体" w:hAnsi="宋体" w:eastAsia="宋体" w:cs="宋体"/>
                <w:color w:val="000000"/>
                <w:kern w:val="0"/>
                <w:lang w:val="en-US" w:eastAsia="zh-CN" w:bidi="ar"/>
              </w:rPr>
              <w:t>4</w:t>
            </w:r>
            <w:r>
              <w:rPr>
                <w:rFonts w:ascii="宋体" w:hAnsi="宋体" w:eastAsia="宋体" w:cs="宋体"/>
                <w:color w:val="000000"/>
                <w:kern w:val="0"/>
                <w:lang w:bidi="ar"/>
              </w:rPr>
              <w:t>.交付期：签订合同之日起30天内。</w:t>
            </w:r>
          </w:p>
          <w:p w14:paraId="4E8F15B8">
            <w:pPr>
              <w:rPr>
                <w:rFonts w:ascii="宋体" w:hAnsi="宋体" w:eastAsia="宋体" w:cs="宋体"/>
                <w:color w:val="000000"/>
                <w:kern w:val="0"/>
                <w:lang w:bidi="ar"/>
              </w:rPr>
            </w:pPr>
            <w:r>
              <w:rPr>
                <w:rFonts w:hint="eastAsia" w:ascii="宋体" w:hAnsi="宋体" w:eastAsia="宋体" w:cs="宋体"/>
                <w:color w:val="000000"/>
                <w:kern w:val="0"/>
                <w:lang w:val="en-US" w:eastAsia="zh-CN" w:bidi="ar"/>
              </w:rPr>
              <w:t>5</w:t>
            </w:r>
            <w:r>
              <w:rPr>
                <w:rFonts w:ascii="宋体" w:hAnsi="宋体" w:eastAsia="宋体" w:cs="宋体"/>
                <w:color w:val="000000"/>
                <w:kern w:val="0"/>
                <w:lang w:bidi="ar"/>
              </w:rPr>
              <w:t>.支付方式：合同签订后15个工作日内，采购人支付合同金额30%，项目正式上线并稳定运行30个工作日后甲方支付合同总额50%的项目合同款给乙方，项目实施完成并整体验收后甲方支付合同总额20%的项目验收款给乙方。采购人在所有支付款项之前，均应收到供应商提供的合法有效的发票，供应商未开具合法有效的发票的，采购人有权不支付合同款。</w:t>
            </w:r>
          </w:p>
          <w:p w14:paraId="4AD4C25B">
            <w:pPr>
              <w:rPr>
                <w:rFonts w:ascii="仿宋_GB2312" w:hAnsi="宋体" w:eastAsia="仿宋_GB2312" w:cs="宋体"/>
                <w:color w:val="000000"/>
                <w:kern w:val="0"/>
                <w:lang w:bidi="ar"/>
              </w:rPr>
            </w:pPr>
            <w:r>
              <w:rPr>
                <w:rFonts w:hint="eastAsia" w:ascii="宋体" w:hAnsi="宋体" w:eastAsia="宋体" w:cs="宋体"/>
                <w:color w:val="000000"/>
                <w:kern w:val="0"/>
                <w:lang w:val="en-US" w:eastAsia="zh-CN" w:bidi="ar"/>
              </w:rPr>
              <w:t>6</w:t>
            </w:r>
            <w:r>
              <w:rPr>
                <w:rFonts w:ascii="宋体" w:hAnsi="宋体" w:eastAsia="宋体" w:cs="宋体"/>
                <w:color w:val="000000"/>
                <w:kern w:val="0"/>
                <w:lang w:bidi="ar"/>
              </w:rPr>
              <w:t>.质保期：质保期不少于3年。</w:t>
            </w:r>
          </w:p>
        </w:tc>
      </w:tr>
      <w:tr w14:paraId="0B1FB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4709" w:type="dxa"/>
            <w:gridSpan w:val="5"/>
            <w:vAlign w:val="center"/>
          </w:tcPr>
          <w:p w14:paraId="77411F03">
            <w:pPr>
              <w:rPr>
                <w:rFonts w:hint="eastAsia" w:ascii="宋体" w:hAnsi="宋体" w:eastAsia="宋体" w:cs="宋体"/>
                <w:color w:val="000000"/>
                <w:kern w:val="0"/>
                <w:lang w:val="en-US" w:eastAsia="zh-CN" w:bidi="ar"/>
              </w:rPr>
            </w:pPr>
            <w:r>
              <w:rPr>
                <w:rFonts w:hint="eastAsia" w:ascii="宋体" w:hAnsi="宋体" w:eastAsia="宋体" w:cs="宋体"/>
                <w:b/>
                <w:bCs/>
                <w:i w:val="0"/>
                <w:iCs w:val="0"/>
                <w:caps w:val="0"/>
                <w:color w:val="000000"/>
                <w:spacing w:val="0"/>
                <w:sz w:val="30"/>
                <w:szCs w:val="30"/>
                <w:lang w:val="en-US" w:eastAsia="zh-CN"/>
              </w:rPr>
              <w:t>三、技术参数</w:t>
            </w:r>
          </w:p>
        </w:tc>
      </w:tr>
      <w:tr w14:paraId="0067D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69" w:type="dxa"/>
            <w:vAlign w:val="center"/>
          </w:tcPr>
          <w:p w14:paraId="36C7268F">
            <w:pPr>
              <w:jc w:val="center"/>
              <w:rPr>
                <w:rFonts w:asciiTheme="minorEastAsia" w:hAnsiTheme="minorEastAsia"/>
                <w:b/>
                <w:sz w:val="24"/>
                <w:szCs w:val="24"/>
              </w:rPr>
            </w:pPr>
            <w:r>
              <w:rPr>
                <w:rFonts w:hint="eastAsia" w:asciiTheme="minorEastAsia" w:hAnsiTheme="minorEastAsia"/>
                <w:b/>
                <w:sz w:val="24"/>
                <w:szCs w:val="24"/>
              </w:rPr>
              <w:t>项号</w:t>
            </w:r>
          </w:p>
        </w:tc>
        <w:tc>
          <w:tcPr>
            <w:tcW w:w="1050" w:type="dxa"/>
            <w:vAlign w:val="center"/>
          </w:tcPr>
          <w:p w14:paraId="111DD3FE">
            <w:pPr>
              <w:jc w:val="center"/>
              <w:rPr>
                <w:rFonts w:asciiTheme="minorEastAsia" w:hAnsiTheme="minorEastAsia"/>
                <w:b/>
                <w:sz w:val="24"/>
                <w:szCs w:val="24"/>
              </w:rPr>
            </w:pPr>
            <w:r>
              <w:rPr>
                <w:rFonts w:hint="eastAsia" w:asciiTheme="minorEastAsia" w:hAnsiTheme="minorEastAsia"/>
                <w:b/>
                <w:sz w:val="24"/>
                <w:szCs w:val="24"/>
              </w:rPr>
              <w:t>名称</w:t>
            </w:r>
          </w:p>
        </w:tc>
        <w:tc>
          <w:tcPr>
            <w:tcW w:w="10887" w:type="dxa"/>
            <w:vAlign w:val="center"/>
          </w:tcPr>
          <w:p w14:paraId="2963C42D">
            <w:pPr>
              <w:jc w:val="center"/>
              <w:rPr>
                <w:rFonts w:asciiTheme="minorEastAsia" w:hAnsiTheme="minorEastAsia"/>
                <w:b/>
                <w:sz w:val="24"/>
                <w:szCs w:val="24"/>
              </w:rPr>
            </w:pPr>
            <w:r>
              <w:rPr>
                <w:rFonts w:hint="eastAsia" w:asciiTheme="minorEastAsia" w:hAnsiTheme="minorEastAsia"/>
                <w:b/>
                <w:sz w:val="24"/>
                <w:szCs w:val="24"/>
              </w:rPr>
              <w:t>参数描述</w:t>
            </w:r>
          </w:p>
        </w:tc>
        <w:tc>
          <w:tcPr>
            <w:tcW w:w="982" w:type="dxa"/>
            <w:vAlign w:val="center"/>
          </w:tcPr>
          <w:p w14:paraId="4A182EEE">
            <w:pPr>
              <w:jc w:val="center"/>
              <w:rPr>
                <w:rFonts w:asciiTheme="minorEastAsia" w:hAnsiTheme="minorEastAsia"/>
                <w:b/>
                <w:sz w:val="24"/>
                <w:szCs w:val="24"/>
              </w:rPr>
            </w:pPr>
            <w:r>
              <w:rPr>
                <w:rFonts w:hint="eastAsia" w:asciiTheme="minorEastAsia" w:hAnsiTheme="minorEastAsia"/>
                <w:b/>
                <w:sz w:val="24"/>
                <w:szCs w:val="24"/>
              </w:rPr>
              <w:t>数量</w:t>
            </w:r>
          </w:p>
        </w:tc>
        <w:tc>
          <w:tcPr>
            <w:tcW w:w="1021" w:type="dxa"/>
            <w:vAlign w:val="center"/>
          </w:tcPr>
          <w:p w14:paraId="5847EC58">
            <w:pPr>
              <w:jc w:val="center"/>
              <w:rPr>
                <w:rFonts w:asciiTheme="minorEastAsia" w:hAnsiTheme="minorEastAsia"/>
                <w:b/>
                <w:sz w:val="24"/>
                <w:szCs w:val="24"/>
              </w:rPr>
            </w:pPr>
            <w:r>
              <w:rPr>
                <w:rFonts w:hint="eastAsia" w:asciiTheme="minorEastAsia" w:hAnsiTheme="minorEastAsia"/>
                <w:b/>
                <w:sz w:val="24"/>
                <w:szCs w:val="24"/>
              </w:rPr>
              <w:t>单位</w:t>
            </w:r>
          </w:p>
        </w:tc>
      </w:tr>
      <w:tr w14:paraId="01C6C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769" w:type="dxa"/>
            <w:vAlign w:val="center"/>
          </w:tcPr>
          <w:p w14:paraId="571D30ED">
            <w:pPr>
              <w:jc w:val="center"/>
              <w:rPr>
                <w:rFonts w:asciiTheme="minorEastAsia" w:hAnsiTheme="minorEastAsia"/>
                <w:b/>
                <w:sz w:val="24"/>
                <w:szCs w:val="24"/>
              </w:rPr>
            </w:pPr>
            <w:r>
              <w:rPr>
                <w:rFonts w:hint="eastAsia" w:asciiTheme="minorEastAsia" w:hAnsiTheme="minorEastAsia"/>
                <w:b/>
                <w:sz w:val="24"/>
                <w:szCs w:val="24"/>
              </w:rPr>
              <w:t>1</w:t>
            </w:r>
          </w:p>
        </w:tc>
        <w:tc>
          <w:tcPr>
            <w:tcW w:w="1050" w:type="dxa"/>
            <w:vAlign w:val="center"/>
          </w:tcPr>
          <w:p w14:paraId="21221FF2">
            <w:pPr>
              <w:jc w:val="center"/>
              <w:rPr>
                <w:rFonts w:asciiTheme="minorEastAsia" w:hAnsiTheme="minorEastAsia"/>
                <w:b/>
                <w:sz w:val="24"/>
                <w:szCs w:val="24"/>
              </w:rPr>
            </w:pPr>
            <w:r>
              <w:rPr>
                <w:rFonts w:asciiTheme="minorEastAsia" w:hAnsiTheme="minorEastAsia"/>
                <w:b/>
                <w:sz w:val="24"/>
                <w:szCs w:val="24"/>
              </w:rPr>
              <w:t>全闪集中式存储设备</w:t>
            </w:r>
          </w:p>
        </w:tc>
        <w:tc>
          <w:tcPr>
            <w:tcW w:w="10887" w:type="dxa"/>
            <w:vAlign w:val="center"/>
          </w:tcPr>
          <w:p w14:paraId="0D13CC1C">
            <w:pPr>
              <w:pStyle w:val="4"/>
              <w:spacing w:after="0" w:line="320" w:lineRule="exact"/>
              <w:rPr>
                <w:szCs w:val="21"/>
                <w:lang w:bidi="ar"/>
              </w:rPr>
            </w:pPr>
            <w:r>
              <w:rPr>
                <w:rFonts w:hint="eastAsia"/>
                <w:szCs w:val="21"/>
                <w:lang w:bidi="ar"/>
              </w:rPr>
              <w:t>一、硬件及配置要求</w:t>
            </w:r>
          </w:p>
          <w:p w14:paraId="39E3F5BC">
            <w:pPr>
              <w:pStyle w:val="4"/>
              <w:spacing w:after="0" w:line="320" w:lineRule="exact"/>
              <w:rPr>
                <w:szCs w:val="21"/>
                <w:lang w:bidi="ar"/>
              </w:rPr>
            </w:pPr>
            <w:r>
              <w:rPr>
                <w:rFonts w:hint="eastAsia"/>
                <w:szCs w:val="21"/>
                <w:lang w:bidi="ar"/>
              </w:rPr>
              <w:t>1.机架规格：高度≥2U，128GB缓存，单控制框标准25盘位，标配双控制器50盘位</w:t>
            </w:r>
            <w:r>
              <w:rPr>
                <w:rFonts w:hint="eastAsia"/>
              </w:rPr>
              <w:t>，最大可扩展到100盘位。</w:t>
            </w:r>
            <w:r>
              <w:rPr>
                <w:rFonts w:hint="eastAsia"/>
                <w:szCs w:val="21"/>
                <w:lang w:bidi="ar"/>
              </w:rPr>
              <w:t>。</w:t>
            </w:r>
          </w:p>
          <w:p w14:paraId="188C8694">
            <w:pPr>
              <w:pStyle w:val="4"/>
              <w:spacing w:after="0" w:line="320" w:lineRule="exact"/>
              <w:rPr>
                <w:szCs w:val="21"/>
                <w:lang w:bidi="ar"/>
              </w:rPr>
            </w:pPr>
            <w:r>
              <w:rPr>
                <w:rFonts w:hint="eastAsia"/>
                <w:szCs w:val="21"/>
                <w:lang w:bidi="ar"/>
              </w:rPr>
              <w:t>2.控制器：配置双控制器</w:t>
            </w:r>
            <w:bookmarkStart w:id="1" w:name="_GoBack"/>
            <w:bookmarkEnd w:id="1"/>
            <w:r>
              <w:rPr>
                <w:rFonts w:hint="eastAsia"/>
                <w:szCs w:val="21"/>
                <w:lang w:bidi="ar"/>
              </w:rPr>
              <w:t>核心为当前主流高性能处理器核心，单控核心≥24核，主频≥2.6GHz。</w:t>
            </w:r>
          </w:p>
          <w:p w14:paraId="72B86B47">
            <w:pPr>
              <w:pStyle w:val="4"/>
              <w:spacing w:after="0" w:line="320" w:lineRule="exact"/>
              <w:rPr>
                <w:szCs w:val="21"/>
                <w:lang w:bidi="ar"/>
              </w:rPr>
            </w:pPr>
            <w:r>
              <w:rPr>
                <w:rFonts w:hint="eastAsia"/>
                <w:szCs w:val="21"/>
                <w:lang w:bidi="ar"/>
              </w:rPr>
              <w:t>3.网卡：端口为存储系统双控制器冗余配置后的总可用端口数，且所有端口应支持故障切换与负载均衡。配置≥4个10GE光口(含多模光模块)，≥8个1GE电口，≥8个16Gb FC接口(含光模块)。</w:t>
            </w:r>
          </w:p>
          <w:p w14:paraId="56FE91D3">
            <w:pPr>
              <w:pStyle w:val="4"/>
              <w:spacing w:after="0" w:line="320" w:lineRule="exact"/>
              <w:rPr>
                <w:szCs w:val="21"/>
                <w:lang w:bidi="ar"/>
              </w:rPr>
            </w:pPr>
            <w:r>
              <w:rPr>
                <w:rFonts w:hint="eastAsia"/>
                <w:szCs w:val="21"/>
                <w:lang w:bidi="ar"/>
              </w:rPr>
              <w:t>4.硬盘：配置≥28块7.68T SAS SSD硬盘，硬盘应为企业级（Enterprise Class）或更高规格，读写寿命（DWPD）≥3。</w:t>
            </w:r>
          </w:p>
          <w:p w14:paraId="2634E2AB">
            <w:pPr>
              <w:pStyle w:val="4"/>
              <w:spacing w:after="0" w:line="320" w:lineRule="exact"/>
              <w:rPr>
                <w:szCs w:val="21"/>
                <w:lang w:bidi="ar"/>
              </w:rPr>
            </w:pPr>
            <w:r>
              <w:rPr>
                <w:rFonts w:hint="eastAsia"/>
                <w:szCs w:val="21"/>
                <w:lang w:bidi="ar"/>
              </w:rPr>
              <w:t>5.软件特性：配置基础包使用许可(含≥150T永久授权许可)。</w:t>
            </w:r>
          </w:p>
          <w:p w14:paraId="04CA3DDE">
            <w:pPr>
              <w:pStyle w:val="4"/>
              <w:spacing w:after="0" w:line="320" w:lineRule="exact"/>
              <w:rPr>
                <w:szCs w:val="21"/>
                <w:lang w:bidi="ar"/>
              </w:rPr>
            </w:pPr>
            <w:r>
              <w:rPr>
                <w:rFonts w:hint="eastAsia"/>
                <w:szCs w:val="21"/>
                <w:lang w:bidi="ar"/>
              </w:rPr>
              <w:t>二、软件及功能要求</w:t>
            </w:r>
          </w:p>
          <w:p w14:paraId="017DAD39">
            <w:pPr>
              <w:pStyle w:val="4"/>
              <w:spacing w:after="0" w:line="320" w:lineRule="exact"/>
              <w:rPr>
                <w:szCs w:val="21"/>
                <w:lang w:bidi="ar"/>
              </w:rPr>
            </w:pPr>
            <w:r>
              <w:rPr>
                <w:rFonts w:hint="eastAsia" w:ascii="宋体" w:hAnsi="宋体" w:cs="宋体"/>
                <w:szCs w:val="21"/>
              </w:rPr>
              <w:t>▲</w:t>
            </w:r>
            <w:r>
              <w:rPr>
                <w:rFonts w:hint="eastAsia"/>
                <w:szCs w:val="21"/>
                <w:lang w:bidi="ar"/>
              </w:rPr>
              <w:t>1.控制器采用Active-Active架构，LUN不归属于某一个控制器，业务负载均衡到≥2个控制器，业务运行过程中，每个控制器的IOPS和CPU利用率差异≤10%。响应文件中提供满足本条要求的相关证明材料（包括但不限于功能截图、彩页、官网截图等），并加盖竞标人公章。</w:t>
            </w:r>
          </w:p>
          <w:p w14:paraId="48A0EC7B">
            <w:pPr>
              <w:pStyle w:val="4"/>
              <w:spacing w:after="0" w:line="320" w:lineRule="exact"/>
              <w:rPr>
                <w:szCs w:val="21"/>
                <w:lang w:bidi="ar"/>
              </w:rPr>
            </w:pPr>
            <w:r>
              <w:rPr>
                <w:rFonts w:hint="eastAsia" w:ascii="宋体" w:hAnsi="宋体" w:cs="宋体"/>
                <w:sz w:val="24"/>
              </w:rPr>
              <w:t>▲</w:t>
            </w:r>
            <w:r>
              <w:rPr>
                <w:rFonts w:hint="eastAsia"/>
                <w:lang w:bidi="ar"/>
              </w:rPr>
              <w:t>2.控制器配置：采用2U盘控架构，单控制器框提供≥25个硬盘槽位，存储系统最大可扩展≥8个控制器，本次配置2个控制器，存储系统或控制器配置的处理器总物理核数≥48核（不包含ASCI专用芯片核数）</w:t>
            </w:r>
            <w:r>
              <w:rPr>
                <w:rFonts w:hint="eastAsia"/>
                <w:szCs w:val="21"/>
                <w:lang w:bidi="ar"/>
              </w:rPr>
              <w:t>。响应文件中提供满足本条要求的相关证明材料（包括但不限于功能截图、彩页、官网截图等），并加盖竞标人公章。</w:t>
            </w:r>
          </w:p>
          <w:p w14:paraId="47C1514D">
            <w:pPr>
              <w:pStyle w:val="4"/>
              <w:spacing w:after="0" w:line="320" w:lineRule="exact"/>
              <w:rPr>
                <w:szCs w:val="21"/>
                <w:lang w:bidi="ar"/>
              </w:rPr>
            </w:pPr>
            <w:r>
              <w:rPr>
                <w:rFonts w:hint="eastAsia" w:ascii="宋体" w:hAnsi="宋体" w:cs="宋体"/>
                <w:szCs w:val="21"/>
              </w:rPr>
              <w:t>▲</w:t>
            </w:r>
            <w:r>
              <w:rPr>
                <w:rFonts w:hint="eastAsia"/>
                <w:szCs w:val="21"/>
                <w:lang w:bidi="ar"/>
              </w:rPr>
              <w:t>3.存储缓存容量：系统内总一级缓存容量配置≥128GB，且任意控制器一级缓存容量≥64GB（不含任何性能加速模块、FlashCache、PAM卡，SSD Cache、SCM等）控制器缓存均具备断电保护功能，在出现外部电源故障，BBU能够持续给系统供电，确保将高速缓存内容转储至非易失性内部存储设备上。响应文件中提供满足本条要求的相关证明材料（包括但不限于功能截图、彩页、官网截图等），并加盖竞标人公章。</w:t>
            </w:r>
          </w:p>
          <w:p w14:paraId="2EA9ACB2">
            <w:pPr>
              <w:pStyle w:val="4"/>
              <w:spacing w:after="0" w:line="320" w:lineRule="exact"/>
              <w:rPr>
                <w:szCs w:val="21"/>
                <w:lang w:bidi="ar"/>
              </w:rPr>
            </w:pPr>
            <w:r>
              <w:rPr>
                <w:rFonts w:hint="eastAsia"/>
                <w:szCs w:val="21"/>
                <w:lang w:bidi="ar"/>
              </w:rPr>
              <w:t>●4.端口配置：双控配置≥4个10GE光口+≥8个1GE电口+≥8个16Gb FC接口。响应文件中提供满足本条要求的相关证明材料（包括但不限于功能截图、彩页、官网截图等），并加盖竞标人公章。</w:t>
            </w:r>
          </w:p>
          <w:p w14:paraId="02167415">
            <w:pPr>
              <w:pStyle w:val="4"/>
              <w:spacing w:after="0" w:line="320" w:lineRule="exact"/>
              <w:rPr>
                <w:szCs w:val="21"/>
                <w:lang w:bidi="ar"/>
              </w:rPr>
            </w:pPr>
            <w:r>
              <w:rPr>
                <w:rFonts w:hint="eastAsia"/>
                <w:szCs w:val="21"/>
                <w:lang w:bidi="ar"/>
              </w:rPr>
              <w:t>5.硬盘配置：配置≥28块7.68T SAS SSD硬盘（在Raid5低热备策略下提供物理可用容量≥150TiB，不含热备容量和重删压缩容量）。响应文件中提供满足本条要求的相关证明材料（包括但不限于功能截图、彩页、官网截图等），并加盖竞标人公章。</w:t>
            </w:r>
          </w:p>
          <w:p w14:paraId="6AB8B613">
            <w:pPr>
              <w:pStyle w:val="4"/>
              <w:spacing w:after="0" w:line="320" w:lineRule="exact"/>
              <w:rPr>
                <w:szCs w:val="21"/>
                <w:lang w:bidi="ar"/>
              </w:rPr>
            </w:pPr>
            <w:r>
              <w:rPr>
                <w:rFonts w:hint="eastAsia"/>
                <w:szCs w:val="21"/>
                <w:lang w:bidi="ar"/>
              </w:rPr>
              <w:t>6. 存储设备需支持RAID 5、RAID 6及更高级别的冗余架构，并具备三盘容错能力，即在同一RAID组内可容忍任意3块硬盘同时失效。</w:t>
            </w:r>
          </w:p>
          <w:p w14:paraId="40DB1360">
            <w:pPr>
              <w:pStyle w:val="4"/>
              <w:spacing w:after="0" w:line="320" w:lineRule="exact"/>
              <w:rPr>
                <w:szCs w:val="21"/>
                <w:lang w:bidi="ar"/>
              </w:rPr>
            </w:pPr>
            <w:r>
              <w:rPr>
                <w:rFonts w:hint="eastAsia" w:ascii="宋体" w:hAnsi="宋体" w:cs="宋体"/>
                <w:szCs w:val="21"/>
              </w:rPr>
              <w:t>▲</w:t>
            </w:r>
            <w:r>
              <w:rPr>
                <w:rFonts w:hint="eastAsia"/>
                <w:szCs w:val="21"/>
                <w:lang w:bidi="ar"/>
              </w:rPr>
              <w:t>7.</w:t>
            </w:r>
            <w:r>
              <w:rPr>
                <w:rFonts w:hint="eastAsia"/>
                <w:szCs w:val="21"/>
              </w:rPr>
              <w:t>提供上限控制和下限保障两种QoS策略，分别都支持从IOPS和带宽两个维度进行配置。同时上限控制策略支持burst配置，Burst功能应支持设置Burst时间和Burst大小（IOPS/Bandwidth）。下限保障策略支持时延配置，应支持设置最大IO延迟（ms）。</w:t>
            </w:r>
            <w:r>
              <w:rPr>
                <w:rFonts w:hint="eastAsia"/>
                <w:szCs w:val="21"/>
                <w:lang w:bidi="ar"/>
              </w:rPr>
              <w:t>响应文件中提供满足本条要求的相关证明材料（包括但不限于功能截图、彩页、官网截图等），并加盖竞标人公章。</w:t>
            </w:r>
          </w:p>
          <w:p w14:paraId="0795B2F5">
            <w:pPr>
              <w:pStyle w:val="5"/>
              <w:spacing w:after="0" w:line="320" w:lineRule="exact"/>
              <w:ind w:firstLine="0" w:firstLineChars="0"/>
              <w:rPr>
                <w:sz w:val="21"/>
                <w:szCs w:val="21"/>
              </w:rPr>
            </w:pPr>
            <w:r>
              <w:rPr>
                <w:rFonts w:hint="eastAsia"/>
                <w:sz w:val="21"/>
                <w:szCs w:val="21"/>
              </w:rPr>
              <w:t>8.支持同步复制和异步复制，并支持根据链路进行同异步复制互转</w:t>
            </w:r>
            <w:r>
              <w:rPr>
                <w:rFonts w:hint="eastAsia"/>
                <w:sz w:val="24"/>
                <w:szCs w:val="24"/>
              </w:rPr>
              <w:t>并无需额外许可</w:t>
            </w:r>
            <w:r>
              <w:rPr>
                <w:rFonts w:hint="eastAsia"/>
                <w:sz w:val="21"/>
                <w:szCs w:val="21"/>
              </w:rPr>
              <w:t>，支持自动转换和手工切换两种方式，</w:t>
            </w:r>
            <w:r>
              <w:rPr>
                <w:rFonts w:hint="eastAsia"/>
                <w:sz w:val="21"/>
                <w:szCs w:val="21"/>
                <w:lang w:bidi="ar"/>
              </w:rPr>
              <w:t>响应文件中提供满足本条要求的相关证明材料（包括但不限于功能截图、彩页、官网截图等），并加盖竞标人公章。</w:t>
            </w:r>
          </w:p>
          <w:p w14:paraId="511B2445">
            <w:pPr>
              <w:pStyle w:val="4"/>
              <w:spacing w:after="0" w:line="320" w:lineRule="exact"/>
              <w:rPr>
                <w:szCs w:val="21"/>
                <w:lang w:bidi="ar"/>
              </w:rPr>
            </w:pPr>
            <w:r>
              <w:rPr>
                <w:rFonts w:hint="eastAsia"/>
                <w:szCs w:val="21"/>
                <w:lang w:bidi="ar"/>
              </w:rPr>
              <w:t>9.动态 RAID 重构：当磁盘故障时，可以变更减少 RAID 组磁盘数量，以确保数据冗余级别不降低。</w:t>
            </w:r>
          </w:p>
          <w:p w14:paraId="54E70873">
            <w:pPr>
              <w:pStyle w:val="4"/>
              <w:spacing w:after="0" w:line="320" w:lineRule="exact"/>
              <w:rPr>
                <w:szCs w:val="21"/>
                <w:lang w:bidi="ar"/>
              </w:rPr>
            </w:pPr>
            <w:r>
              <w:rPr>
                <w:rFonts w:hint="eastAsia"/>
                <w:szCs w:val="21"/>
                <w:lang w:bidi="ar"/>
              </w:rPr>
              <w:t>10.克隆：配置克隆功能，支持克隆功能，可为快照和源 LUN 提供一个实体副本。</w:t>
            </w:r>
          </w:p>
          <w:p w14:paraId="1EB47969">
            <w:pPr>
              <w:pStyle w:val="4"/>
              <w:spacing w:after="0" w:line="320" w:lineRule="exact"/>
              <w:rPr>
                <w:szCs w:val="21"/>
                <w:lang w:bidi="ar"/>
              </w:rPr>
            </w:pPr>
            <w:r>
              <w:rPr>
                <w:rFonts w:hint="eastAsia"/>
                <w:szCs w:val="21"/>
                <w:lang w:bidi="ar"/>
              </w:rPr>
              <w:t>11.智能管理运维：支持提前≥365天容量预测。</w:t>
            </w:r>
          </w:p>
          <w:p w14:paraId="33DF0E6C">
            <w:pPr>
              <w:pStyle w:val="4"/>
              <w:spacing w:after="0" w:line="320" w:lineRule="exact"/>
              <w:rPr>
                <w:szCs w:val="21"/>
                <w:lang w:bidi="ar"/>
              </w:rPr>
            </w:pPr>
            <w:r>
              <w:rPr>
                <w:rFonts w:hint="eastAsia" w:ascii="宋体" w:hAnsi="宋体" w:cs="宋体"/>
                <w:szCs w:val="21"/>
              </w:rPr>
              <w:t>▲</w:t>
            </w:r>
            <w:r>
              <w:rPr>
                <w:rFonts w:hint="eastAsia"/>
                <w:szCs w:val="21"/>
                <w:lang w:bidi="ar"/>
              </w:rPr>
              <w:t>12.提供SSD寿命监控技术，并在系统中显示每一块SSD硬盘的包括但不限于磨损度、使用寿命消耗百分比、预估剩余寿命。响应文件中提供满足本条要求的相关证明材料（包括但不限于功能截图、彩页、官网截图等），并加盖竞标人公章。</w:t>
            </w:r>
          </w:p>
          <w:p w14:paraId="73708035">
            <w:pPr>
              <w:pStyle w:val="4"/>
              <w:spacing w:after="0" w:line="320" w:lineRule="exact"/>
              <w:rPr>
                <w:szCs w:val="21"/>
                <w:lang w:bidi="ar"/>
              </w:rPr>
            </w:pPr>
            <w:r>
              <w:rPr>
                <w:rFonts w:hint="eastAsia" w:ascii="宋体" w:hAnsi="宋体" w:cs="宋体"/>
                <w:szCs w:val="21"/>
              </w:rPr>
              <w:t>▲</w:t>
            </w:r>
            <w:r>
              <w:rPr>
                <w:rFonts w:hint="eastAsia"/>
                <w:szCs w:val="21"/>
                <w:lang w:bidi="ar"/>
              </w:rPr>
              <w:t>13.存储厂商提供专有多路径（非操作系统自带多路径）软件，提供故障切换和负载均衡功能，支持 Windows、 Linux、AIX、Solaris 和 Vmware。响应文件中提供竞标产品满足本条要求的相关证明材料（包括但不限于软件著作权证书、功能截图、彩页、官网截图等），并加盖竞标人公章。</w:t>
            </w:r>
          </w:p>
          <w:p w14:paraId="54E0138A">
            <w:pPr>
              <w:pStyle w:val="5"/>
              <w:spacing w:after="0" w:line="320" w:lineRule="exact"/>
              <w:ind w:firstLine="0" w:firstLineChars="0"/>
              <w:rPr>
                <w:sz w:val="21"/>
                <w:szCs w:val="21"/>
              </w:rPr>
            </w:pPr>
            <w:r>
              <w:rPr>
                <w:rFonts w:hint="eastAsia"/>
                <w:szCs w:val="21"/>
                <w:lang w:bidi="ar"/>
              </w:rPr>
              <w:t>●</w:t>
            </w:r>
            <w:r>
              <w:rPr>
                <w:rFonts w:hint="eastAsia"/>
                <w:sz w:val="21"/>
                <w:szCs w:val="21"/>
              </w:rPr>
              <w:t>14.阵列可扩展支持数据加密功能，可以通过与外置密管的配合实现数据的加密。数据加密模块通过国家密码管理局认证。</w:t>
            </w:r>
          </w:p>
          <w:p w14:paraId="6ED77B2F">
            <w:pPr>
              <w:spacing w:line="320" w:lineRule="exact"/>
              <w:jc w:val="left"/>
              <w:rPr>
                <w:szCs w:val="21"/>
                <w:lang w:bidi="ar"/>
              </w:rPr>
            </w:pPr>
            <w:r>
              <w:rPr>
                <w:rFonts w:hint="eastAsia"/>
                <w:szCs w:val="21"/>
                <w:lang w:bidi="ar"/>
              </w:rPr>
              <w:t>15.提供原厂整机硬件（包含硬盘）三年维保服务，</w:t>
            </w:r>
            <w:r>
              <w:rPr>
                <w:rFonts w:hint="eastAsia"/>
                <w:szCs w:val="21"/>
              </w:rPr>
              <w:t>质保期内设备故障免费服务，30分钟内远程响应，需要上门服务2小时内上门服务，设备返厂或需要更换配件的不超过25个工作日完成，</w:t>
            </w:r>
            <w:r>
              <w:rPr>
                <w:rFonts w:hint="eastAsia"/>
                <w:szCs w:val="21"/>
                <w:lang w:bidi="ar"/>
              </w:rPr>
              <w:t>成交供应商供货时同时提供原厂售后服务承诺函和供应商售后服务承诺函。</w:t>
            </w:r>
          </w:p>
          <w:p w14:paraId="022A923C">
            <w:pPr>
              <w:pStyle w:val="2"/>
            </w:pPr>
          </w:p>
        </w:tc>
        <w:tc>
          <w:tcPr>
            <w:tcW w:w="982" w:type="dxa"/>
            <w:vAlign w:val="center"/>
          </w:tcPr>
          <w:p w14:paraId="76E09BBA">
            <w:pPr>
              <w:jc w:val="center"/>
              <w:rPr>
                <w:rFonts w:asciiTheme="minorEastAsia" w:hAnsiTheme="minorEastAsia"/>
                <w:b/>
                <w:sz w:val="24"/>
                <w:szCs w:val="24"/>
              </w:rPr>
            </w:pPr>
            <w:r>
              <w:rPr>
                <w:rFonts w:hint="eastAsia" w:asciiTheme="minorEastAsia" w:hAnsiTheme="minorEastAsia"/>
                <w:b/>
                <w:sz w:val="24"/>
                <w:szCs w:val="24"/>
              </w:rPr>
              <w:t>1</w:t>
            </w:r>
          </w:p>
        </w:tc>
        <w:tc>
          <w:tcPr>
            <w:tcW w:w="1021" w:type="dxa"/>
            <w:vAlign w:val="center"/>
          </w:tcPr>
          <w:p w14:paraId="60CF3850">
            <w:pPr>
              <w:jc w:val="center"/>
              <w:rPr>
                <w:rFonts w:asciiTheme="minorEastAsia" w:hAnsiTheme="minorEastAsia"/>
                <w:b/>
                <w:sz w:val="24"/>
                <w:szCs w:val="24"/>
              </w:rPr>
            </w:pPr>
            <w:r>
              <w:rPr>
                <w:rFonts w:hint="eastAsia" w:asciiTheme="minorEastAsia" w:hAnsiTheme="minorEastAsia"/>
                <w:b/>
                <w:sz w:val="24"/>
                <w:szCs w:val="24"/>
              </w:rPr>
              <w:t>台</w:t>
            </w:r>
          </w:p>
        </w:tc>
      </w:tr>
    </w:tbl>
    <w:p w14:paraId="09FE47A0">
      <w:pPr>
        <w:jc w:val="center"/>
      </w:pPr>
    </w:p>
    <w:sectPr>
      <w:pgSz w:w="16838" w:h="11906" w:orient="landscape"/>
      <w:pgMar w:top="669"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Segoe UI">
    <w:panose1 w:val="020B0502040204020203"/>
    <w:charset w:val="00"/>
    <w:family w:val="swiss"/>
    <w:pitch w:val="default"/>
    <w:sig w:usb0="E4002EFF" w:usb1="C000E47F"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7E1"/>
    <w:rsid w:val="00067DCD"/>
    <w:rsid w:val="0007497C"/>
    <w:rsid w:val="0010382A"/>
    <w:rsid w:val="00135EA5"/>
    <w:rsid w:val="00173692"/>
    <w:rsid w:val="00183710"/>
    <w:rsid w:val="0019477E"/>
    <w:rsid w:val="00374875"/>
    <w:rsid w:val="003771F5"/>
    <w:rsid w:val="003A370E"/>
    <w:rsid w:val="003B1113"/>
    <w:rsid w:val="00415296"/>
    <w:rsid w:val="00447ADB"/>
    <w:rsid w:val="005844AF"/>
    <w:rsid w:val="005A46C3"/>
    <w:rsid w:val="0066267B"/>
    <w:rsid w:val="007244B0"/>
    <w:rsid w:val="00742F3B"/>
    <w:rsid w:val="007E6721"/>
    <w:rsid w:val="008A3D8E"/>
    <w:rsid w:val="008C4725"/>
    <w:rsid w:val="00912522"/>
    <w:rsid w:val="009A4578"/>
    <w:rsid w:val="009C2443"/>
    <w:rsid w:val="00A04B6C"/>
    <w:rsid w:val="00A270A4"/>
    <w:rsid w:val="00A46E1C"/>
    <w:rsid w:val="00AA353B"/>
    <w:rsid w:val="00BD57E1"/>
    <w:rsid w:val="00C70A4B"/>
    <w:rsid w:val="00C800D4"/>
    <w:rsid w:val="00CF6681"/>
    <w:rsid w:val="00D171A8"/>
    <w:rsid w:val="00D41E9D"/>
    <w:rsid w:val="00D4336F"/>
    <w:rsid w:val="00DD4A8C"/>
    <w:rsid w:val="00DF6E67"/>
    <w:rsid w:val="00E45149"/>
    <w:rsid w:val="00E62733"/>
    <w:rsid w:val="00E86917"/>
    <w:rsid w:val="02DD6241"/>
    <w:rsid w:val="098A4FBA"/>
    <w:rsid w:val="1A85109C"/>
    <w:rsid w:val="1DDC4AEB"/>
    <w:rsid w:val="2C2665C3"/>
    <w:rsid w:val="30403475"/>
    <w:rsid w:val="35CF3AEA"/>
    <w:rsid w:val="38473C33"/>
    <w:rsid w:val="3F4D4769"/>
    <w:rsid w:val="46F97CBB"/>
    <w:rsid w:val="497746C9"/>
    <w:rsid w:val="56DB0C98"/>
    <w:rsid w:val="598A1074"/>
    <w:rsid w:val="62295F0A"/>
    <w:rsid w:val="62BF43F2"/>
    <w:rsid w:val="68415D17"/>
    <w:rsid w:val="691F7F88"/>
    <w:rsid w:val="696A6D80"/>
    <w:rsid w:val="6C16193C"/>
    <w:rsid w:val="7A0E5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style>
  <w:style w:type="paragraph" w:styleId="3">
    <w:name w:val="annotation text"/>
    <w:basedOn w:val="1"/>
    <w:semiHidden/>
    <w:unhideWhenUsed/>
    <w:qFormat/>
    <w:uiPriority w:val="99"/>
    <w:pPr>
      <w:jc w:val="left"/>
    </w:pPr>
  </w:style>
  <w:style w:type="paragraph" w:styleId="4">
    <w:name w:val="Body Text"/>
    <w:basedOn w:val="1"/>
    <w:next w:val="5"/>
    <w:unhideWhenUsed/>
    <w:qFormat/>
    <w:uiPriority w:val="99"/>
    <w:pPr>
      <w:spacing w:after="120"/>
    </w:pPr>
  </w:style>
  <w:style w:type="paragraph" w:styleId="5">
    <w:name w:val="Body Text First Indent 2"/>
    <w:basedOn w:val="4"/>
    <w:next w:val="6"/>
    <w:qFormat/>
    <w:uiPriority w:val="99"/>
    <w:pPr>
      <w:ind w:firstLine="420" w:firstLineChars="200"/>
    </w:pPr>
    <w:rPr>
      <w:rFonts w:ascii="宋体" w:hAnsi="Courier New"/>
      <w:spacing w:val="-4"/>
      <w:sz w:val="18"/>
    </w:rPr>
  </w:style>
  <w:style w:type="paragraph" w:styleId="6">
    <w:name w:val="Body Text First Indent"/>
    <w:basedOn w:val="4"/>
    <w:next w:val="1"/>
    <w:qFormat/>
    <w:uiPriority w:val="0"/>
    <w:pPr>
      <w:adjustRightInd w:val="0"/>
      <w:spacing w:after="60" w:line="360" w:lineRule="atLeast"/>
      <w:ind w:left="72" w:leftChars="30" w:right="30" w:rightChars="30" w:firstLine="420"/>
      <w:jc w:val="center"/>
      <w:textAlignment w:val="baseline"/>
    </w:pPr>
    <w:rPr>
      <w:rFonts w:eastAsia="楷体_GB2312"/>
      <w:kern w:val="0"/>
      <w:sz w:val="32"/>
    </w:rPr>
  </w:style>
  <w:style w:type="paragraph" w:styleId="7">
    <w:name w:val="Balloon Text"/>
    <w:basedOn w:val="1"/>
    <w:link w:val="16"/>
    <w:semiHidden/>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22"/>
    <w:rPr>
      <w:b/>
      <w:bCs/>
    </w:rPr>
  </w:style>
  <w:style w:type="character" w:styleId="14">
    <w:name w:val="Emphasis"/>
    <w:basedOn w:val="12"/>
    <w:qFormat/>
    <w:uiPriority w:val="20"/>
    <w:rPr>
      <w:i/>
    </w:rPr>
  </w:style>
  <w:style w:type="paragraph" w:customStyle="1" w:styleId="15">
    <w:name w:val="ds-markdown-paragraph"/>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
    <w:name w:val="批注框文本 Char"/>
    <w:basedOn w:val="12"/>
    <w:link w:val="7"/>
    <w:semiHidden/>
    <w:qFormat/>
    <w:uiPriority w:val="99"/>
    <w:rPr>
      <w:rFonts w:asciiTheme="minorHAnsi" w:hAnsiTheme="minorHAnsi" w:eastAsiaTheme="minorEastAsia" w:cstheme="minorBidi"/>
      <w:kern w:val="2"/>
      <w:sz w:val="18"/>
      <w:szCs w:val="18"/>
    </w:rPr>
  </w:style>
  <w:style w:type="character" w:customStyle="1" w:styleId="17">
    <w:name w:val="页眉 Char"/>
    <w:basedOn w:val="12"/>
    <w:link w:val="9"/>
    <w:qFormat/>
    <w:uiPriority w:val="99"/>
    <w:rPr>
      <w:rFonts w:asciiTheme="minorHAnsi" w:hAnsiTheme="minorHAnsi" w:eastAsiaTheme="minorEastAsia" w:cstheme="minorBidi"/>
      <w:kern w:val="2"/>
      <w:sz w:val="18"/>
      <w:szCs w:val="18"/>
    </w:rPr>
  </w:style>
  <w:style w:type="character" w:customStyle="1" w:styleId="18">
    <w:name w:val="页脚 Char"/>
    <w:basedOn w:val="12"/>
    <w:link w:val="8"/>
    <w:qFormat/>
    <w:uiPriority w:val="99"/>
    <w:rPr>
      <w:rFonts w:asciiTheme="minorHAnsi" w:hAnsiTheme="minorHAnsi" w:eastAsiaTheme="minorEastAsia" w:cstheme="minorBidi"/>
      <w:kern w:val="2"/>
      <w:sz w:val="18"/>
      <w:szCs w:val="18"/>
    </w:rPr>
  </w:style>
  <w:style w:type="paragraph" w:styleId="1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3</Pages>
  <Words>2060</Words>
  <Characters>2328</Characters>
  <Lines>16</Lines>
  <Paragraphs>4</Paragraphs>
  <TotalTime>0</TotalTime>
  <ScaleCrop>false</ScaleCrop>
  <LinksUpToDate>false</LinksUpToDate>
  <CharactersWithSpaces>2349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2025-04-03T01:29:00Z</dcterms:created>
  <dc:creator>wzq</dc:creator>
  <cp:lastModifiedBy>半冬稍暖。</cp:lastModifiedBy>
  <dcterms:modified xsi:type="dcterms:W3CDTF">2025-08-26T07:54:55Z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48154CCC418547E983BD96EB654DBF35_13</vt:lpwstr>
  </property>
  <property fmtid="{D5CDD505-2E9C-101B-9397-08002B2CF9AE}" pid="4" name="KSOTemplateDocerSaveRecord">
    <vt:lpwstr>eyJoZGlkIjoiNjNiODg1OThiNDQ3MmQ0NDRhMzY3MzM1Y2NjOGEwMDYiLCJ1c2VySWQiOiI1NjA2OTYyOTUifQ==</vt:lpwstr>
  </property>
</Properties>
</file>