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426"/>
        <w:gridCol w:w="9631"/>
        <w:gridCol w:w="1117"/>
        <w:gridCol w:w="1066"/>
      </w:tblGrid>
      <w:tr w14:paraId="4344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407DE84D">
            <w:pPr>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广西中医药大学第一附属医院</w:t>
            </w:r>
          </w:p>
          <w:p w14:paraId="6BA83D9F">
            <w:pPr>
              <w:spacing w:line="480" w:lineRule="auto"/>
              <w:jc w:val="center"/>
              <w:rPr>
                <w:vertAlign w:val="baseline"/>
              </w:rPr>
            </w:pPr>
            <w:r>
              <w:rPr>
                <w:rFonts w:hint="eastAsia" w:ascii="宋体" w:hAnsi="宋体" w:eastAsia="宋体" w:cs="宋体"/>
                <w:b/>
                <w:bCs/>
                <w:i w:val="0"/>
                <w:iCs w:val="0"/>
                <w:caps w:val="0"/>
                <w:color w:val="000000"/>
                <w:spacing w:val="0"/>
                <w:sz w:val="30"/>
                <w:szCs w:val="30"/>
              </w:rPr>
              <w:t>采购需求</w:t>
            </w:r>
          </w:p>
        </w:tc>
      </w:tr>
      <w:tr w14:paraId="03C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74" w:type="dxa"/>
            <w:gridSpan w:val="5"/>
          </w:tcPr>
          <w:p w14:paraId="6EC1024D">
            <w:pPr>
              <w:spacing w:line="480" w:lineRule="auto"/>
              <w:jc w:val="left"/>
              <w:rPr>
                <w:rFonts w:hint="default" w:eastAsia="宋体"/>
                <w:vertAlign w:val="baseline"/>
                <w:lang w:val="en-US" w:eastAsia="zh-CN"/>
              </w:rPr>
            </w:pPr>
            <w:r>
              <w:rPr>
                <w:rFonts w:hint="eastAsia" w:ascii="宋体" w:hAnsi="宋体" w:eastAsia="宋体" w:cs="宋体"/>
                <w:b/>
                <w:bCs/>
                <w:i w:val="0"/>
                <w:iCs w:val="0"/>
                <w:caps w:val="0"/>
                <w:color w:val="000000"/>
                <w:spacing w:val="0"/>
                <w:sz w:val="30"/>
                <w:szCs w:val="30"/>
              </w:rPr>
              <w:t>一、项目名称：</w:t>
            </w:r>
            <w:r>
              <w:rPr>
                <w:rFonts w:hint="eastAsia" w:ascii="宋体" w:hAnsi="宋体" w:eastAsia="宋体" w:cs="宋体"/>
                <w:b/>
                <w:bCs/>
                <w:i w:val="0"/>
                <w:iCs w:val="0"/>
                <w:caps w:val="0"/>
                <w:color w:val="000000"/>
                <w:spacing w:val="0"/>
                <w:sz w:val="30"/>
                <w:szCs w:val="30"/>
                <w:lang w:eastAsia="zh-CN"/>
              </w:rPr>
              <w:t>仙葫</w:t>
            </w:r>
            <w:r>
              <w:rPr>
                <w:rFonts w:hint="eastAsia" w:ascii="宋体" w:hAnsi="宋体" w:eastAsia="宋体" w:cs="宋体"/>
                <w:b/>
                <w:bCs/>
                <w:i w:val="0"/>
                <w:iCs w:val="0"/>
                <w:caps w:val="0"/>
                <w:color w:val="000000"/>
                <w:spacing w:val="0"/>
                <w:sz w:val="30"/>
                <w:szCs w:val="30"/>
                <w:lang w:val="en-US" w:eastAsia="zh-CN"/>
              </w:rPr>
              <w:t>信息机房UPS蓄电池更换项目</w:t>
            </w:r>
          </w:p>
        </w:tc>
      </w:tr>
      <w:tr w14:paraId="367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D188779">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二、</w:t>
            </w:r>
            <w:r>
              <w:rPr>
                <w:rFonts w:hint="eastAsia" w:ascii="宋体" w:hAnsi="宋体" w:eastAsia="宋体" w:cs="宋体"/>
                <w:b/>
                <w:bCs/>
                <w:i w:val="0"/>
                <w:iCs w:val="0"/>
                <w:caps w:val="0"/>
                <w:color w:val="000000"/>
                <w:spacing w:val="0"/>
                <w:sz w:val="30"/>
                <w:szCs w:val="30"/>
              </w:rPr>
              <w:t>总体要求</w:t>
            </w:r>
          </w:p>
        </w:tc>
      </w:tr>
      <w:tr w14:paraId="045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tbl>
            <w:tblPr>
              <w:tblStyle w:val="4"/>
              <w:tblW w:w="14210"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10"/>
            </w:tblGrid>
            <w:tr w14:paraId="50E2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210" w:type="dxa"/>
                  <w:tcBorders>
                    <w:top w:val="single" w:color="000000" w:sz="4" w:space="0"/>
                    <w:left w:val="single" w:color="000000" w:sz="4" w:space="0"/>
                    <w:bottom w:val="single" w:color="000000" w:sz="4" w:space="0"/>
                    <w:right w:val="single" w:color="000000" w:sz="4" w:space="0"/>
                  </w:tcBorders>
                  <w:vAlign w:val="center"/>
                </w:tcPr>
                <w:p w14:paraId="6359F9A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b/>
                      <w:bCs/>
                      <w:i w:val="0"/>
                      <w:iCs w:val="0"/>
                      <w:caps w:val="0"/>
                      <w:color w:val="000000"/>
                      <w:spacing w:val="0"/>
                      <w:sz w:val="28"/>
                      <w:szCs w:val="28"/>
                      <w:lang w:val="en-US" w:eastAsia="zh-CN"/>
                    </w:rPr>
                  </w:pPr>
                  <w:r>
                    <w:rPr>
                      <w:b/>
                      <w:bCs/>
                      <w:sz w:val="28"/>
                      <w:szCs w:val="28"/>
                    </w:rPr>
                    <w:t>项目起源：紧迫性与问题驱动</w:t>
                  </w:r>
                </w:p>
                <w:p w14:paraId="2ED17A0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8"/>
                      <w:szCs w:val="28"/>
                      <w:lang w:val="en-US" w:eastAsia="zh-CN"/>
                    </w:rPr>
                    <w:t>UPS蓄电池作为关键基础设施的电力保障核心，其寿命通常为3-5年。经过对电池组的检测发现电池组已经不能满足数据中心关键设备的供电需求，蓄电池老化导致系统可靠性下降，老化蓄电池存在漏液、膨胀甚至爆裂风险，当市电故障时，电池无法支撑负载至发电机启动或市电恢复，可能造成数据丢失、设备损坏，威胁数据中心关键业务的连续性。</w:t>
                  </w:r>
                </w:p>
                <w:p w14:paraId="0C04B64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b/>
                      <w:bCs/>
                      <w:sz w:val="28"/>
                      <w:szCs w:val="28"/>
                      <w:lang w:val="en-US" w:eastAsia="zh-CN"/>
                    </w:rPr>
                  </w:pPr>
                  <w:r>
                    <w:rPr>
                      <w:rFonts w:hint="eastAsia"/>
                      <w:b/>
                      <w:bCs/>
                      <w:sz w:val="28"/>
                      <w:szCs w:val="28"/>
                      <w:lang w:val="en-US" w:eastAsia="zh-CN"/>
                    </w:rPr>
                    <w:t>项目核心目的：保障UPS系统供电连续性</w:t>
                  </w:r>
                </w:p>
                <w:p w14:paraId="73FF11A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为了保证设备的正常工作，消除因 UPS 供电系统内的不正常造成的断电、蓄电池短路等重大安全隐患，减少由于 UPS 供电系统故障而造成对业务或工作的影响，通过更换失效蓄电池，确保UPS系统在电网中断时能持续提供电力支持，将电力中断风险降至最低，满足医院数据中心机房场景的”零宕机”需求。</w:t>
                  </w:r>
                </w:p>
                <w:p w14:paraId="716EC95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b/>
                      <w:bCs/>
                      <w:sz w:val="28"/>
                      <w:szCs w:val="28"/>
                      <w:lang w:val="en-US" w:eastAsia="zh-CN"/>
                    </w:rPr>
                  </w:pPr>
                  <w:r>
                    <w:rPr>
                      <w:rFonts w:hint="eastAsia"/>
                      <w:b/>
                      <w:bCs/>
                      <w:sz w:val="28"/>
                      <w:szCs w:val="28"/>
                      <w:lang w:val="en-US" w:eastAsia="zh-CN"/>
                    </w:rPr>
                    <w:t>项目必要性：风险规避与价值创造</w:t>
                  </w:r>
                </w:p>
                <w:p w14:paraId="1AFC018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避免单次断电事故导致的业务损失（如医疗数据中断、生产线停滞）远超电池更换成本。满足《信息系统机房设计规范》（GB 50174-2017）对数据中心UPS后备时间的要求，为医院医疗信息化运行提供高可靠电力底座，支撑IT负载需求。</w:t>
                  </w:r>
                </w:p>
                <w:p w14:paraId="57B955A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s="Arial"/>
                      <w:bCs/>
                      <w:kern w:val="0"/>
                      <w:szCs w:val="21"/>
                    </w:rPr>
                  </w:pPr>
                  <w:r>
                    <w:rPr>
                      <w:rFonts w:hint="eastAsia" w:ascii="宋体" w:hAnsi="宋体" w:eastAsia="宋体" w:cs="宋体"/>
                      <w:b w:val="0"/>
                      <w:bCs w:val="0"/>
                      <w:i w:val="0"/>
                      <w:iCs w:val="0"/>
                      <w:caps w:val="0"/>
                      <w:color w:val="000000"/>
                      <w:spacing w:val="0"/>
                      <w:sz w:val="28"/>
                      <w:szCs w:val="28"/>
                      <w:lang w:val="en-US" w:eastAsia="zh-CN"/>
                    </w:rPr>
                    <w:t>质保期：3年</w:t>
                  </w:r>
                </w:p>
                <w:p w14:paraId="53A458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s="Arial"/>
                      <w:bCs/>
                      <w:kern w:val="0"/>
                      <w:szCs w:val="21"/>
                    </w:rPr>
                  </w:pPr>
                  <w:r>
                    <w:rPr>
                      <w:rFonts w:hint="eastAsia" w:ascii="宋体" w:hAnsi="宋体" w:eastAsia="宋体" w:cs="宋体"/>
                      <w:b w:val="0"/>
                      <w:bCs w:val="0"/>
                      <w:i w:val="0"/>
                      <w:iCs w:val="0"/>
                      <w:caps w:val="0"/>
                      <w:color w:val="000000"/>
                      <w:spacing w:val="0"/>
                      <w:sz w:val="28"/>
                      <w:szCs w:val="28"/>
                      <w:lang w:val="en-US" w:eastAsia="zh-CN"/>
                    </w:rPr>
                    <w:t>交付使用时间：签订合同之日起10个工作日内交付使用并通过验收。</w:t>
                  </w:r>
                </w:p>
                <w:p w14:paraId="152B556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s="Arial"/>
                      <w:bCs/>
                      <w:kern w:val="0"/>
                      <w:szCs w:val="21"/>
                    </w:rPr>
                  </w:pPr>
                  <w:r>
                    <w:rPr>
                      <w:rFonts w:hint="eastAsia" w:ascii="宋体" w:hAnsi="宋体" w:eastAsia="宋体" w:cs="宋体"/>
                      <w:b w:val="0"/>
                      <w:bCs w:val="0"/>
                      <w:i w:val="0"/>
                      <w:iCs w:val="0"/>
                      <w:caps w:val="0"/>
                      <w:color w:val="000000"/>
                      <w:spacing w:val="0"/>
                      <w:sz w:val="28"/>
                      <w:szCs w:val="28"/>
                      <w:lang w:val="en-US" w:eastAsia="zh-CN"/>
                    </w:rPr>
                    <w:t>付款方式：双方签订本合同后3个工作日内采购人预付本合同总金额30%的款项，供应商</w:t>
                  </w:r>
                  <w:r>
                    <w:rPr>
                      <w:rFonts w:hint="default" w:ascii="宋体" w:hAnsi="宋体" w:eastAsia="宋体" w:cs="宋体"/>
                      <w:b w:val="0"/>
                      <w:bCs w:val="0"/>
                      <w:i w:val="0"/>
                      <w:iCs w:val="0"/>
                      <w:caps w:val="0"/>
                      <w:color w:val="000000"/>
                      <w:spacing w:val="0"/>
                      <w:sz w:val="28"/>
                      <w:szCs w:val="28"/>
                      <w:lang w:val="en-US" w:eastAsia="zh-CN"/>
                    </w:rPr>
                    <w:t xml:space="preserve"> 10 天内完成安装调试，安装调试</w:t>
                  </w:r>
                  <w:r>
                    <w:rPr>
                      <w:rFonts w:hint="eastAsia" w:ascii="宋体" w:hAnsi="宋体" w:eastAsia="宋体" w:cs="宋体"/>
                      <w:b w:val="0"/>
                      <w:bCs w:val="0"/>
                      <w:i w:val="0"/>
                      <w:iCs w:val="0"/>
                      <w:caps w:val="0"/>
                      <w:color w:val="000000"/>
                      <w:spacing w:val="0"/>
                      <w:sz w:val="28"/>
                      <w:szCs w:val="28"/>
                      <w:lang w:val="en-US" w:eastAsia="zh-CN"/>
                    </w:rPr>
                    <w:t>完毕验收</w:t>
                  </w:r>
                  <w:r>
                    <w:rPr>
                      <w:rFonts w:hint="default" w:ascii="宋体" w:hAnsi="宋体" w:eastAsia="宋体" w:cs="宋体"/>
                      <w:b w:val="0"/>
                      <w:bCs w:val="0"/>
                      <w:i w:val="0"/>
                      <w:iCs w:val="0"/>
                      <w:caps w:val="0"/>
                      <w:color w:val="000000"/>
                      <w:spacing w:val="0"/>
                      <w:sz w:val="28"/>
                      <w:szCs w:val="28"/>
                      <w:lang w:val="en-US" w:eastAsia="zh-CN"/>
                    </w:rPr>
                    <w:t>后</w:t>
                  </w:r>
                  <w:r>
                    <w:rPr>
                      <w:rFonts w:hint="eastAsia" w:ascii="宋体" w:hAnsi="宋体" w:eastAsia="宋体" w:cs="宋体"/>
                      <w:b w:val="0"/>
                      <w:bCs w:val="0"/>
                      <w:i w:val="0"/>
                      <w:iCs w:val="0"/>
                      <w:caps w:val="0"/>
                      <w:color w:val="000000"/>
                      <w:spacing w:val="0"/>
                      <w:sz w:val="28"/>
                      <w:szCs w:val="28"/>
                      <w:lang w:val="en-US" w:eastAsia="zh-CN"/>
                    </w:rPr>
                    <w:t>15</w:t>
                  </w:r>
                  <w:r>
                    <w:rPr>
                      <w:rFonts w:hint="default" w:ascii="宋体" w:hAnsi="宋体" w:eastAsia="宋体" w:cs="宋体"/>
                      <w:b w:val="0"/>
                      <w:bCs w:val="0"/>
                      <w:i w:val="0"/>
                      <w:iCs w:val="0"/>
                      <w:caps w:val="0"/>
                      <w:color w:val="000000"/>
                      <w:spacing w:val="0"/>
                      <w:sz w:val="28"/>
                      <w:szCs w:val="28"/>
                      <w:lang w:val="en-US" w:eastAsia="zh-CN"/>
                    </w:rPr>
                    <w:t>个</w:t>
                  </w:r>
                  <w:r>
                    <w:rPr>
                      <w:rFonts w:hint="eastAsia" w:ascii="宋体" w:hAnsi="宋体" w:eastAsia="宋体" w:cs="宋体"/>
                      <w:b w:val="0"/>
                      <w:bCs w:val="0"/>
                      <w:i w:val="0"/>
                      <w:iCs w:val="0"/>
                      <w:caps w:val="0"/>
                      <w:color w:val="000000"/>
                      <w:spacing w:val="0"/>
                      <w:sz w:val="28"/>
                      <w:szCs w:val="28"/>
                      <w:lang w:val="en-US" w:eastAsia="zh-CN"/>
                    </w:rPr>
                    <w:t>工作</w:t>
                  </w:r>
                  <w:r>
                    <w:rPr>
                      <w:rFonts w:hint="default" w:ascii="宋体" w:hAnsi="宋体" w:eastAsia="宋体" w:cs="宋体"/>
                      <w:b w:val="0"/>
                      <w:bCs w:val="0"/>
                      <w:i w:val="0"/>
                      <w:iCs w:val="0"/>
                      <w:caps w:val="0"/>
                      <w:color w:val="000000"/>
                      <w:spacing w:val="0"/>
                      <w:sz w:val="28"/>
                      <w:szCs w:val="28"/>
                      <w:lang w:val="en-US" w:eastAsia="zh-CN"/>
                    </w:rPr>
                    <w:t>日内付清合同总金额</w:t>
                  </w:r>
                  <w:r>
                    <w:rPr>
                      <w:rFonts w:hint="eastAsia" w:ascii="宋体" w:hAnsi="宋体" w:eastAsia="宋体" w:cs="宋体"/>
                      <w:b w:val="0"/>
                      <w:bCs w:val="0"/>
                      <w:i w:val="0"/>
                      <w:iCs w:val="0"/>
                      <w:caps w:val="0"/>
                      <w:color w:val="000000"/>
                      <w:spacing w:val="0"/>
                      <w:sz w:val="28"/>
                      <w:szCs w:val="28"/>
                      <w:lang w:val="en-US" w:eastAsia="zh-CN"/>
                    </w:rPr>
                    <w:t>70</w:t>
                  </w:r>
                  <w:r>
                    <w:rPr>
                      <w:rFonts w:hint="default" w:ascii="宋体" w:hAnsi="宋体" w:eastAsia="宋体" w:cs="宋体"/>
                      <w:b w:val="0"/>
                      <w:bCs w:val="0"/>
                      <w:i w:val="0"/>
                      <w:iCs w:val="0"/>
                      <w:caps w:val="0"/>
                      <w:color w:val="000000"/>
                      <w:spacing w:val="0"/>
                      <w:sz w:val="28"/>
                      <w:szCs w:val="28"/>
                      <w:lang w:val="en-US" w:eastAsia="zh-CN"/>
                    </w:rPr>
                    <w:t xml:space="preserve"> %的款项</w:t>
                  </w:r>
                  <w:r>
                    <w:rPr>
                      <w:rFonts w:hint="eastAsia" w:ascii="宋体" w:hAnsi="宋体" w:eastAsia="宋体" w:cs="宋体"/>
                      <w:b w:val="0"/>
                      <w:bCs w:val="0"/>
                      <w:i w:val="0"/>
                      <w:iCs w:val="0"/>
                      <w:caps w:val="0"/>
                      <w:color w:val="000000"/>
                      <w:spacing w:val="0"/>
                      <w:sz w:val="28"/>
                      <w:szCs w:val="28"/>
                      <w:lang w:val="en-US" w:eastAsia="zh-CN"/>
                    </w:rPr>
                    <w:t>。</w:t>
                  </w:r>
                </w:p>
              </w:tc>
            </w:tr>
          </w:tbl>
          <w:p w14:paraId="30DCD160">
            <w:pPr>
              <w:numPr>
                <w:ilvl w:val="0"/>
                <w:numId w:val="0"/>
              </w:numPr>
              <w:spacing w:line="240" w:lineRule="auto"/>
              <w:jc w:val="left"/>
              <w:rPr>
                <w:rFonts w:hint="default" w:ascii="宋体" w:hAnsi="宋体" w:eastAsia="宋体" w:cs="宋体"/>
                <w:b/>
                <w:bCs/>
                <w:i w:val="0"/>
                <w:iCs w:val="0"/>
                <w:caps w:val="0"/>
                <w:color w:val="000000"/>
                <w:spacing w:val="0"/>
                <w:sz w:val="30"/>
                <w:szCs w:val="30"/>
                <w:lang w:val="en-US" w:eastAsia="zh-CN"/>
              </w:rPr>
            </w:pPr>
          </w:p>
        </w:tc>
      </w:tr>
      <w:tr w14:paraId="27D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EB3EAB0">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三、技术参数</w:t>
            </w:r>
          </w:p>
        </w:tc>
      </w:tr>
      <w:tr w14:paraId="25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0A5549E7">
            <w:pPr>
              <w:spacing w:line="480" w:lineRule="auto"/>
              <w:jc w:val="center"/>
              <w:rPr>
                <w:rFonts w:hint="eastAsia" w:eastAsiaTheme="minorEastAsia"/>
                <w:b/>
                <w:bCs w:val="0"/>
                <w:sz w:val="24"/>
                <w:szCs w:val="24"/>
                <w:vertAlign w:val="baseline"/>
                <w:lang w:val="en-US" w:eastAsia="zh-CN"/>
              </w:rPr>
            </w:pPr>
            <w:r>
              <w:rPr>
                <w:rFonts w:hint="eastAsia" w:asciiTheme="minorEastAsia" w:hAnsiTheme="minorEastAsia"/>
                <w:b/>
                <w:bCs w:val="0"/>
                <w:sz w:val="24"/>
                <w:szCs w:val="24"/>
              </w:rPr>
              <w:t>项号</w:t>
            </w:r>
          </w:p>
        </w:tc>
        <w:tc>
          <w:tcPr>
            <w:tcW w:w="1245" w:type="dxa"/>
          </w:tcPr>
          <w:p w14:paraId="4F4A76C9">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名称</w:t>
            </w:r>
          </w:p>
        </w:tc>
        <w:tc>
          <w:tcPr>
            <w:tcW w:w="10441" w:type="dxa"/>
          </w:tcPr>
          <w:p w14:paraId="15777A4E">
            <w:pPr>
              <w:spacing w:line="480" w:lineRule="auto"/>
              <w:jc w:val="center"/>
              <w:rPr>
                <w:b/>
                <w:bCs w:val="0"/>
                <w:sz w:val="24"/>
                <w:szCs w:val="24"/>
                <w:vertAlign w:val="baseline"/>
              </w:rPr>
            </w:pPr>
            <w:r>
              <w:rPr>
                <w:rFonts w:hint="eastAsia" w:asciiTheme="minorEastAsia" w:hAnsiTheme="minorEastAsia"/>
                <w:b/>
                <w:bCs w:val="0"/>
                <w:sz w:val="24"/>
                <w:szCs w:val="24"/>
              </w:rPr>
              <w:t>参数描述</w:t>
            </w:r>
          </w:p>
        </w:tc>
        <w:tc>
          <w:tcPr>
            <w:tcW w:w="849" w:type="dxa"/>
          </w:tcPr>
          <w:p w14:paraId="3E046874">
            <w:pPr>
              <w:spacing w:line="480" w:lineRule="auto"/>
              <w:jc w:val="center"/>
              <w:rPr>
                <w:b/>
                <w:bCs w:val="0"/>
                <w:sz w:val="24"/>
                <w:szCs w:val="24"/>
                <w:vertAlign w:val="baseline"/>
              </w:rPr>
            </w:pPr>
            <w:r>
              <w:rPr>
                <w:rFonts w:hint="eastAsia" w:asciiTheme="minorEastAsia" w:hAnsiTheme="minorEastAsia"/>
                <w:b/>
                <w:bCs w:val="0"/>
                <w:sz w:val="24"/>
                <w:szCs w:val="24"/>
              </w:rPr>
              <w:t>数量</w:t>
            </w:r>
          </w:p>
        </w:tc>
        <w:tc>
          <w:tcPr>
            <w:tcW w:w="905" w:type="dxa"/>
          </w:tcPr>
          <w:p w14:paraId="0F225E14">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单位</w:t>
            </w:r>
          </w:p>
        </w:tc>
      </w:tr>
      <w:tr w14:paraId="12F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shd w:val="clear" w:color="auto" w:fill="auto"/>
            <w:vAlign w:val="center"/>
          </w:tcPr>
          <w:p w14:paraId="73783393">
            <w:pPr>
              <w:widowControl/>
              <w:jc w:val="center"/>
              <w:textAlignment w:val="center"/>
              <w:rPr>
                <w:rFonts w:hint="eastAsia" w:ascii="仿宋" w:hAnsi="仿宋" w:eastAsia="仿宋" w:cs="仿宋"/>
                <w:color w:val="000000"/>
                <w:kern w:val="2"/>
                <w:sz w:val="24"/>
                <w:szCs w:val="22"/>
                <w:lang w:val="en-US" w:eastAsia="zh-CN" w:bidi="ar-SA"/>
              </w:rPr>
            </w:pPr>
            <w:bookmarkStart w:id="0" w:name="_GoBack" w:colFirst="1" w:colLast="2"/>
            <w:r>
              <w:rPr>
                <w:rFonts w:hint="eastAsia" w:ascii="仿宋" w:hAnsi="仿宋" w:eastAsia="仿宋" w:cs="仿宋"/>
                <w:color w:val="000000"/>
                <w:sz w:val="24"/>
                <w:lang w:val="en-US" w:eastAsia="zh-CN"/>
              </w:rPr>
              <w:t>1</w:t>
            </w:r>
          </w:p>
        </w:tc>
        <w:tc>
          <w:tcPr>
            <w:tcW w:w="1245" w:type="dxa"/>
            <w:shd w:val="clear" w:color="auto" w:fill="auto"/>
            <w:vAlign w:val="center"/>
          </w:tcPr>
          <w:p w14:paraId="30608C5D">
            <w:pPr>
              <w:widowControl/>
              <w:jc w:val="left"/>
              <w:textAlignment w:val="center"/>
              <w:rPr>
                <w:rFonts w:ascii="仿宋" w:hAnsi="仿宋" w:eastAsia="仿宋" w:cs="仿宋"/>
                <w:color w:val="000000" w:themeColor="text1"/>
                <w:kern w:val="2"/>
                <w:sz w:val="24"/>
                <w:szCs w:val="22"/>
                <w:lang w:val="en-US" w:eastAsia="zh-CN" w:bidi="ar-SA"/>
                <w14:textFill>
                  <w14:solidFill>
                    <w14:schemeClr w14:val="tx1"/>
                  </w14:solidFill>
                </w14:textFill>
              </w:rPr>
            </w:pPr>
            <w:r>
              <w:rPr>
                <w:rFonts w:hint="eastAsia" w:ascii="仿宋" w:hAnsi="仿宋" w:eastAsia="仿宋" w:cs="仿宋"/>
                <w:color w:val="000000" w:themeColor="text1"/>
                <w:kern w:val="2"/>
                <w:sz w:val="24"/>
                <w:szCs w:val="22"/>
                <w:lang w:val="en-US" w:eastAsia="zh-CN" w:bidi="ar-SA"/>
                <w14:textFill>
                  <w14:solidFill>
                    <w14:schemeClr w14:val="tx1"/>
                  </w14:solidFill>
                </w14:textFill>
              </w:rPr>
              <w:t>仙葫信息机房UPS蓄电池更换项目</w:t>
            </w:r>
          </w:p>
        </w:tc>
        <w:tc>
          <w:tcPr>
            <w:tcW w:w="10441" w:type="dxa"/>
            <w:shd w:val="clear" w:color="auto" w:fill="auto"/>
            <w:vAlign w:val="center"/>
          </w:tcPr>
          <w:p w14:paraId="5FAEFC61">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本项目UPS蓄电池设备品牌：艾晨数能，型号：LEAD100-12（12V100AH）。需提供适配兼容、可靠性的铅酸</w:t>
            </w:r>
            <w:r>
              <w:rPr>
                <w:rFonts w:hint="eastAsia" w:ascii="宋体" w:hAnsi="宋体" w:eastAsia="宋体" w:cs="宋体"/>
                <w:color w:val="000000" w:themeColor="text1"/>
                <w:sz w:val="24"/>
                <w:szCs w:val="24"/>
                <w14:textFill>
                  <w14:solidFill>
                    <w14:schemeClr w14:val="tx1"/>
                  </w14:solidFill>
                </w14:textFill>
              </w:rPr>
              <w:t>蓄电池</w:t>
            </w:r>
            <w:r>
              <w:rPr>
                <w:rFonts w:hint="eastAsia" w:ascii="宋体" w:hAnsi="宋体" w:eastAsia="宋体" w:cs="宋体"/>
                <w:color w:val="000000" w:themeColor="text1"/>
                <w:sz w:val="24"/>
                <w:szCs w:val="24"/>
                <w:lang w:val="en-US" w:eastAsia="zh-CN"/>
                <w14:textFill>
                  <w14:solidFill>
                    <w14:schemeClr w14:val="tx1"/>
                  </w14:solidFill>
                </w14:textFill>
              </w:rPr>
              <w:t>128节</w:t>
            </w:r>
            <w:r>
              <w:rPr>
                <w:rFonts w:hint="eastAsia" w:ascii="宋体" w:hAnsi="宋体" w:eastAsia="宋体" w:cs="宋体"/>
                <w:color w:val="000000" w:themeColor="text1"/>
                <w:sz w:val="24"/>
                <w:szCs w:val="24"/>
                <w:lang w:eastAsia="zh-CN"/>
                <w14:textFill>
                  <w14:solidFill>
                    <w14:schemeClr w14:val="tx1"/>
                  </w14:solidFill>
                </w14:textFill>
              </w:rPr>
              <w:t>。</w:t>
            </w:r>
          </w:p>
          <w:p w14:paraId="026DA4A8">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蓄电池正常使用时保持气密和液密状态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当内部气压超过预定值时，安全阀自动开启，释放气体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当内部气压降低后，安全阀自动闭合使其密封，防止外部空气进入蓄电池内部。</w:t>
            </w:r>
          </w:p>
          <w:p w14:paraId="1C987268">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电池容量保存率应≥98%，</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提供电池同系列泰尔检测报告并加盖所投品牌厂商公章。</w:t>
            </w:r>
          </w:p>
          <w:p w14:paraId="7F14E83E">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电池密封反应效率应≥97.6%，</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提供电池同系列泰尔检测报告并加盖所投品牌厂商公章。</w:t>
            </w:r>
          </w:p>
          <w:p w14:paraId="4B981947">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同组蓄电池最大实际容量与最小实际容量差值应≤1.7%，</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提供电池同系列泰尔检测报告并加盖所投品牌厂商公章。</w:t>
            </w:r>
          </w:p>
          <w:p w14:paraId="476890CB">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蓄电池内阻应≤5mΩ，提供电池同系列泰尔检测报告并加盖所投品牌厂商公章。</w:t>
            </w:r>
          </w:p>
          <w:p w14:paraId="13267FED">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蓄电池外观应无变形、漏液、裂纹及污迹；标识应清晰；正负端子有明显标志，便于连接。</w:t>
            </w:r>
          </w:p>
          <w:p w14:paraId="4FF23FE4">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蓄电池应能承受50kpa的正压或负压而不开裂、不开胶，压力释放后壳体无残余变形。</w:t>
            </w:r>
          </w:p>
          <w:p w14:paraId="2828CAEE">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蓄电池</w:t>
            </w:r>
            <w:r>
              <w:rPr>
                <w:rFonts w:hint="eastAsia" w:ascii="宋体" w:hAnsi="宋体" w:eastAsia="宋体" w:cs="宋体"/>
                <w:color w:val="000000" w:themeColor="text1"/>
                <w:sz w:val="24"/>
                <w:szCs w:val="24"/>
                <w14:textFill>
                  <w14:solidFill>
                    <w14:schemeClr w14:val="tx1"/>
                  </w14:solidFill>
                </w14:textFill>
              </w:rPr>
              <w:t>采用高可靠阀控密封式设计，确保电池不漏（渗）液、无酸雾、不腐蚀，并在充电时产生的气体基本被吸收还原成电解液，在使用时无需加水、补液。</w:t>
            </w:r>
          </w:p>
          <w:p w14:paraId="178593E0">
            <w:pPr>
              <w:pStyle w:val="8"/>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安全阀应</w:t>
            </w:r>
            <w:r>
              <w:rPr>
                <w:rFonts w:hint="eastAsia" w:ascii="宋体" w:hAnsi="宋体" w:eastAsia="宋体" w:cs="宋体"/>
                <w:color w:val="000000" w:themeColor="text1"/>
                <w:sz w:val="24"/>
                <w:szCs w:val="24"/>
                <w:highlight w:val="none"/>
                <w14:textFill>
                  <w14:solidFill>
                    <w14:schemeClr w14:val="tx1"/>
                  </w14:solidFill>
                </w14:textFill>
              </w:rPr>
              <w:t>具有自动开启和自动关闭的功能，其开阀压力应在 10kPa～35kPa 范围内，闭阀压力应在3kPa～30kPa 范围内。</w:t>
            </w:r>
          </w:p>
          <w:p w14:paraId="7014E259">
            <w:pPr>
              <w:pStyle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蓄电池应具备良好的防爆性能，蓄电池内部产生的可燃性气体逸出后，遇到蓄电池外部的明火时在蓄电池内部不引燃、不引爆。</w:t>
            </w:r>
          </w:p>
          <w:p w14:paraId="50FBFC72">
            <w:pPr>
              <w:pStyle w:val="8"/>
              <w:numPr>
                <w:ilvl w:val="0"/>
                <w:numId w:val="2"/>
              </w:numPr>
              <w:spacing w:line="360" w:lineRule="auto"/>
              <w:ind w:left="0" w:leftChars="0" w:firstLine="0" w:firstLineChars="0"/>
              <w:jc w:val="left"/>
              <w:rPr>
                <w:rFonts w:asciiTheme="minorHAnsi" w:hAnsiTheme="minorHAnsi" w:eastAsiaTheme="minorEastAsia" w:cstheme="minorBidi"/>
                <w:color w:val="000000" w:themeColor="text1"/>
                <w:kern w:val="2"/>
                <w:sz w:val="24"/>
                <w:szCs w:val="22"/>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含电池内部连接电缆、铜鼻子及制作人工。含128节旧电池拆除及搬运至指定位置。</w:t>
            </w:r>
            <w:r>
              <w:rPr>
                <w:rFonts w:hint="eastAsia" w:ascii="宋体" w:hAnsi="宋体" w:eastAsia="宋体" w:cs="宋体"/>
                <w:color w:val="000000" w:themeColor="text1"/>
                <w:kern w:val="0"/>
                <w:sz w:val="24"/>
                <w:szCs w:val="24"/>
                <w14:textFill>
                  <w14:solidFill>
                    <w14:schemeClr w14:val="tx1"/>
                  </w14:solidFill>
                </w14:textFill>
              </w:rPr>
              <w:t>含</w:t>
            </w:r>
            <w:r>
              <w:rPr>
                <w:rFonts w:hint="eastAsia" w:ascii="宋体" w:hAnsi="宋体" w:eastAsia="宋体" w:cs="宋体"/>
                <w:color w:val="000000" w:themeColor="text1"/>
                <w:kern w:val="0"/>
                <w:sz w:val="24"/>
                <w:szCs w:val="24"/>
                <w:lang w:val="en-US" w:eastAsia="zh-CN"/>
                <w14:textFill>
                  <w14:solidFill>
                    <w14:schemeClr w14:val="tx1"/>
                  </w14:solidFill>
                </w14:textFill>
              </w:rPr>
              <w:t>128</w:t>
            </w:r>
            <w:r>
              <w:rPr>
                <w:rFonts w:hint="eastAsia" w:ascii="宋体" w:hAnsi="宋体" w:eastAsia="宋体" w:cs="宋体"/>
                <w:color w:val="000000" w:themeColor="text1"/>
                <w:kern w:val="0"/>
                <w:sz w:val="24"/>
                <w:szCs w:val="24"/>
                <w14:textFill>
                  <w14:solidFill>
                    <w14:schemeClr w14:val="tx1"/>
                  </w14:solidFill>
                </w14:textFill>
              </w:rPr>
              <w:t>节新电池二次搬运、安装调试及安装辅材。如需安装新的电池架，费用由中标方承担。</w:t>
            </w:r>
          </w:p>
        </w:tc>
        <w:tc>
          <w:tcPr>
            <w:tcW w:w="849" w:type="dxa"/>
            <w:shd w:val="clear" w:color="auto" w:fill="auto"/>
            <w:vAlign w:val="center"/>
          </w:tcPr>
          <w:p w14:paraId="017A94F9">
            <w:pPr>
              <w:widowControl/>
              <w:jc w:val="center"/>
              <w:textAlignment w:val="center"/>
              <w:rPr>
                <w:rFonts w:hint="default"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val="en-US" w:eastAsia="zh-CN"/>
              </w:rPr>
              <w:t>128</w:t>
            </w:r>
          </w:p>
        </w:tc>
        <w:tc>
          <w:tcPr>
            <w:tcW w:w="905" w:type="dxa"/>
            <w:shd w:val="clear" w:color="auto" w:fill="auto"/>
            <w:vAlign w:val="center"/>
          </w:tcPr>
          <w:p w14:paraId="0BE2E9BF">
            <w:pPr>
              <w:widowControl/>
              <w:jc w:val="center"/>
              <w:textAlignment w:val="center"/>
              <w:rPr>
                <w:rFonts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rPr>
              <w:t>节</w:t>
            </w:r>
          </w:p>
        </w:tc>
      </w:tr>
      <w:bookmarkEnd w:id="0"/>
    </w:tbl>
    <w:p w14:paraId="07178908">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3F85C"/>
    <w:multiLevelType w:val="multilevel"/>
    <w:tmpl w:val="9083F85C"/>
    <w:lvl w:ilvl="0" w:tentative="0">
      <w:start w:val="1"/>
      <w:numFmt w:val="decimal"/>
      <w:suff w:val="space"/>
      <w:lvlText w:val="（%1）"/>
      <w:lvlJc w:val="left"/>
      <w:pPr>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1802E13"/>
    <w:multiLevelType w:val="singleLevel"/>
    <w:tmpl w:val="D1802E13"/>
    <w:lvl w:ilvl="0" w:tentative="0">
      <w:start w:val="1"/>
      <w:numFmt w:val="decimal"/>
      <w:lvlText w:val="%1."/>
      <w:lvlJc w:val="left"/>
      <w:pPr>
        <w:ind w:left="425" w:hanging="425"/>
      </w:pPr>
      <w:rPr>
        <w:rFonts w:hint="default"/>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E1"/>
    <w:rsid w:val="00067DCD"/>
    <w:rsid w:val="0007497C"/>
    <w:rsid w:val="00135EA5"/>
    <w:rsid w:val="00183710"/>
    <w:rsid w:val="003A370E"/>
    <w:rsid w:val="003B1113"/>
    <w:rsid w:val="00447ADB"/>
    <w:rsid w:val="005844AF"/>
    <w:rsid w:val="007244B0"/>
    <w:rsid w:val="007E6721"/>
    <w:rsid w:val="008A3D8E"/>
    <w:rsid w:val="009A4578"/>
    <w:rsid w:val="00A04B6C"/>
    <w:rsid w:val="00AA353B"/>
    <w:rsid w:val="00BD57E1"/>
    <w:rsid w:val="00D171A8"/>
    <w:rsid w:val="00D41E9D"/>
    <w:rsid w:val="00DD4A8C"/>
    <w:rsid w:val="00E86917"/>
    <w:rsid w:val="02BD1606"/>
    <w:rsid w:val="35CF3AEA"/>
    <w:rsid w:val="454A560D"/>
    <w:rsid w:val="489C577B"/>
    <w:rsid w:val="4FAF47F1"/>
    <w:rsid w:val="567474C7"/>
    <w:rsid w:val="5B910632"/>
    <w:rsid w:val="5BF708D2"/>
    <w:rsid w:val="691F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toc 1"/>
    <w:basedOn w:val="1"/>
    <w:next w:val="1"/>
    <w:unhideWhenUsed/>
    <w:qFormat/>
    <w:uiPriority w:val="39"/>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paragraph"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1223</Words>
  <Characters>1314</Characters>
  <Lines>186</Lines>
  <Paragraphs>52</Paragraphs>
  <TotalTime>11</TotalTime>
  <ScaleCrop>false</ScaleCrop>
  <LinksUpToDate>false</LinksUpToDate>
  <CharactersWithSpaces>1325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2025-04-03T01:29:00Z</dcterms:created>
  <dc:creator>wzq</dc:creator>
  <cp:lastModifiedBy>半冬稍暖。</cp:lastModifiedBy>
  <dcterms:modified xsi:type="dcterms:W3CDTF">2025-10-27T09:06:27Z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C0770CFE7F3C4EB68267B4099A52A4B0_13</vt:lpwstr>
  </property>
  <property fmtid="{D5CDD505-2E9C-101B-9397-08002B2CF9AE}" pid="4" name="KSOTemplateDocerSaveRecord">
    <vt:lpwstr>eyJoZGlkIjoiNzQ5YjM5OGNjYjJiN2NmMDc2NDYxZDYzOGU5ZTJkMDMiLCJ1c2VySWQiOiI1NjA2OTYyOTUifQ==</vt:lpwstr>
  </property>
</Properties>
</file>