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887"/>
        <w:gridCol w:w="10763"/>
        <w:gridCol w:w="862"/>
        <w:gridCol w:w="918"/>
      </w:tblGrid>
      <w:tr w14:paraId="4344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4" w:type="dxa"/>
            <w:gridSpan w:val="5"/>
          </w:tcPr>
          <w:p w14:paraId="407DE84D">
            <w:pPr>
              <w:jc w:val="center"/>
              <w:rPr>
                <w:rFonts w:hint="eastAsia" w:ascii="宋体" w:hAnsi="宋体" w:eastAsia="宋体" w:cs="宋体"/>
                <w:b/>
                <w:bCs/>
                <w:i w:val="0"/>
                <w:iCs w:val="0"/>
                <w:caps w:val="0"/>
                <w:color w:val="auto"/>
                <w:spacing w:val="0"/>
                <w:sz w:val="30"/>
                <w:szCs w:val="30"/>
                <w:highlight w:val="none"/>
              </w:rPr>
            </w:pPr>
            <w:r>
              <w:rPr>
                <w:rFonts w:hint="eastAsia" w:ascii="宋体" w:hAnsi="宋体" w:eastAsia="宋体" w:cs="宋体"/>
                <w:b/>
                <w:bCs/>
                <w:i w:val="0"/>
                <w:iCs w:val="0"/>
                <w:caps w:val="0"/>
                <w:color w:val="auto"/>
                <w:spacing w:val="0"/>
                <w:sz w:val="30"/>
                <w:szCs w:val="30"/>
                <w:highlight w:val="none"/>
              </w:rPr>
              <w:t>广西中医药大学第一附属医院</w:t>
            </w:r>
          </w:p>
          <w:p w14:paraId="6BA83D9F">
            <w:pPr>
              <w:spacing w:line="480" w:lineRule="auto"/>
              <w:jc w:val="center"/>
              <w:rPr>
                <w:color w:val="auto"/>
                <w:highlight w:val="none"/>
                <w:vertAlign w:val="baseline"/>
              </w:rPr>
            </w:pPr>
            <w:r>
              <w:rPr>
                <w:rFonts w:hint="eastAsia" w:ascii="宋体" w:hAnsi="宋体" w:eastAsia="宋体" w:cs="宋体"/>
                <w:b/>
                <w:bCs/>
                <w:i w:val="0"/>
                <w:iCs w:val="0"/>
                <w:caps w:val="0"/>
                <w:color w:val="auto"/>
                <w:spacing w:val="0"/>
                <w:sz w:val="30"/>
                <w:szCs w:val="30"/>
                <w:highlight w:val="none"/>
              </w:rPr>
              <w:t>采购需求</w:t>
            </w:r>
          </w:p>
        </w:tc>
      </w:tr>
      <w:tr w14:paraId="03CD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4174" w:type="dxa"/>
            <w:gridSpan w:val="5"/>
          </w:tcPr>
          <w:p w14:paraId="6EC1024D">
            <w:pPr>
              <w:spacing w:line="480" w:lineRule="auto"/>
              <w:jc w:val="left"/>
              <w:rPr>
                <w:rFonts w:hint="default" w:eastAsia="宋体"/>
                <w:color w:val="auto"/>
                <w:highlight w:val="none"/>
                <w:vertAlign w:val="baseline"/>
                <w:lang w:val="en-US" w:eastAsia="zh-CN"/>
              </w:rPr>
            </w:pPr>
            <w:r>
              <w:rPr>
                <w:rFonts w:hint="eastAsia" w:ascii="宋体" w:hAnsi="宋体" w:eastAsia="宋体" w:cs="宋体"/>
                <w:b/>
                <w:bCs/>
                <w:i w:val="0"/>
                <w:iCs w:val="0"/>
                <w:caps w:val="0"/>
                <w:color w:val="auto"/>
                <w:spacing w:val="0"/>
                <w:sz w:val="30"/>
                <w:szCs w:val="30"/>
                <w:highlight w:val="none"/>
              </w:rPr>
              <w:t>一、项目名称：</w:t>
            </w:r>
            <w:r>
              <w:rPr>
                <w:rFonts w:hint="eastAsia" w:ascii="宋体" w:hAnsi="宋体" w:eastAsia="宋体" w:cs="宋体"/>
                <w:b/>
                <w:bCs/>
                <w:i w:val="0"/>
                <w:iCs w:val="0"/>
                <w:caps w:val="0"/>
                <w:color w:val="auto"/>
                <w:spacing w:val="0"/>
                <w:sz w:val="30"/>
                <w:szCs w:val="30"/>
                <w:highlight w:val="none"/>
                <w:lang w:val="en-US" w:eastAsia="zh-CN"/>
              </w:rPr>
              <w:t>医院智慧财务系统升级项目</w:t>
            </w:r>
          </w:p>
        </w:tc>
      </w:tr>
      <w:tr w14:paraId="3672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14:paraId="2D188779">
            <w:pPr>
              <w:spacing w:line="480" w:lineRule="auto"/>
              <w:jc w:val="left"/>
              <w:rPr>
                <w:color w:val="auto"/>
                <w:highlight w:val="none"/>
                <w:vertAlign w:val="baseline"/>
              </w:rPr>
            </w:pPr>
            <w:r>
              <w:rPr>
                <w:rFonts w:hint="eastAsia" w:ascii="宋体" w:hAnsi="宋体" w:eastAsia="宋体" w:cs="宋体"/>
                <w:b/>
                <w:bCs/>
                <w:i w:val="0"/>
                <w:iCs w:val="0"/>
                <w:caps w:val="0"/>
                <w:color w:val="auto"/>
                <w:spacing w:val="0"/>
                <w:sz w:val="30"/>
                <w:szCs w:val="30"/>
                <w:highlight w:val="none"/>
                <w:lang w:val="en-US" w:eastAsia="zh-CN"/>
              </w:rPr>
              <w:t>二、</w:t>
            </w:r>
            <w:r>
              <w:rPr>
                <w:rFonts w:hint="eastAsia" w:ascii="宋体" w:hAnsi="宋体" w:eastAsia="宋体" w:cs="宋体"/>
                <w:b/>
                <w:bCs/>
                <w:i w:val="0"/>
                <w:iCs w:val="0"/>
                <w:caps w:val="0"/>
                <w:color w:val="auto"/>
                <w:spacing w:val="0"/>
                <w:sz w:val="30"/>
                <w:szCs w:val="30"/>
                <w:highlight w:val="none"/>
              </w:rPr>
              <w:t>总体要求</w:t>
            </w:r>
          </w:p>
        </w:tc>
      </w:tr>
      <w:tr w14:paraId="0458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14:paraId="2167899D">
            <w:pPr>
              <w:numPr>
                <w:ilvl w:val="0"/>
                <w:numId w:val="0"/>
              </w:numPr>
              <w:spacing w:line="240" w:lineRule="auto"/>
              <w:jc w:val="left"/>
              <w:rPr>
                <w:rFonts w:hint="eastAsia" w:ascii="宋体" w:hAnsi="宋体" w:eastAsia="宋体" w:cs="宋体"/>
                <w:b w:val="0"/>
                <w:bCs w:val="0"/>
                <w:i w:val="0"/>
                <w:iCs w:val="0"/>
                <w:caps w:val="0"/>
                <w:color w:val="auto"/>
                <w:spacing w:val="0"/>
                <w:sz w:val="24"/>
                <w:szCs w:val="24"/>
                <w:highlight w:val="none"/>
                <w:lang w:val="en-US" w:eastAsia="zh-CN"/>
              </w:rPr>
            </w:pPr>
            <w:r>
              <w:rPr>
                <w:rFonts w:hint="eastAsia" w:ascii="宋体" w:hAnsi="宋体" w:eastAsia="宋体" w:cs="宋体"/>
                <w:b w:val="0"/>
                <w:bCs w:val="0"/>
                <w:i w:val="0"/>
                <w:iCs w:val="0"/>
                <w:caps w:val="0"/>
                <w:color w:val="auto"/>
                <w:spacing w:val="0"/>
                <w:sz w:val="24"/>
                <w:szCs w:val="24"/>
                <w:highlight w:val="none"/>
                <w:lang w:val="en-US" w:eastAsia="zh-CN"/>
              </w:rPr>
              <w:t>1.战略适配，精准赋能业务发展：系统升级需深度契合医院整体发展战略和财务管理规划，以“提质增效、风险防控、价值创造”为核心目标，充分适配现金出纳、应付等六大升级模块的业务场景需求。升级后系统应能有效支撑财务职能从核算型向管理型、战略型转变，为医院资源配置、成本管控、绩效评价等决策提供精准数据支撑，助力医院实现精细化运营管理。</w:t>
            </w:r>
          </w:p>
          <w:p w14:paraId="75C52137">
            <w:pPr>
              <w:numPr>
                <w:ilvl w:val="0"/>
                <w:numId w:val="0"/>
              </w:numPr>
              <w:spacing w:line="240" w:lineRule="auto"/>
              <w:jc w:val="left"/>
              <w:rPr>
                <w:rFonts w:hint="eastAsia" w:ascii="宋体" w:hAnsi="宋体" w:eastAsia="宋体" w:cs="宋体"/>
                <w:b w:val="0"/>
                <w:bCs w:val="0"/>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b w:val="0"/>
                <w:bCs w:val="0"/>
                <w:i w:val="0"/>
                <w:iCs w:val="0"/>
                <w:caps w:val="0"/>
                <w:color w:val="auto"/>
                <w:spacing w:val="0"/>
                <w:sz w:val="24"/>
                <w:szCs w:val="24"/>
                <w:highlight w:val="none"/>
                <w:lang w:val="en-US" w:eastAsia="zh-CN"/>
              </w:rPr>
              <w:t>2.流程优化，提升业务办理效能：以“简化流程、减少冗余、提升体验”为原则，对六大模块的现有业务流程进行全面梳理与重构。实现现金出纳业务的全程追溯与高效管控，应付业务的自动化审核与精准支付，全面预算的全生命周期闭环管理，报销管理与网上报销的便捷化、无纸化办理，科室成本核算的精细化与科学化。通过流程优化，大幅缩短业务办理周期，降低财务人员工作负荷，提升内</w:t>
            </w:r>
            <w:r>
              <w:rPr>
                <w:rFonts w:hint="eastAsia" w:ascii="宋体" w:hAnsi="宋体" w:eastAsia="宋体" w:cs="宋体"/>
                <w:b w:val="0"/>
                <w:bCs w:val="0"/>
                <w:i w:val="0"/>
                <w:iCs w:val="0"/>
                <w:caps w:val="0"/>
                <w:color w:val="000000" w:themeColor="text1"/>
                <w:spacing w:val="0"/>
                <w:sz w:val="24"/>
                <w:szCs w:val="24"/>
                <w:highlight w:val="none"/>
                <w:lang w:val="en-US" w:eastAsia="zh-CN"/>
                <w14:textFill>
                  <w14:solidFill>
                    <w14:schemeClr w14:val="tx1"/>
                  </w14:solidFill>
                </w14:textFill>
              </w:rPr>
              <w:t>外部用户满意度。</w:t>
            </w:r>
          </w:p>
          <w:p w14:paraId="43747276">
            <w:pPr>
              <w:numPr>
                <w:ilvl w:val="0"/>
                <w:numId w:val="0"/>
              </w:numPr>
              <w:spacing w:line="240" w:lineRule="auto"/>
              <w:jc w:val="left"/>
              <w:rPr>
                <w:rFonts w:hint="eastAsia" w:ascii="宋体" w:hAnsi="宋体" w:eastAsia="宋体" w:cs="宋体"/>
                <w:b w:val="0"/>
                <w:bCs w:val="0"/>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highlight w:val="none"/>
                <w:lang w:val="en-US" w:eastAsia="zh-CN"/>
                <w14:textFill>
                  <w14:solidFill>
                    <w14:schemeClr w14:val="tx1"/>
                  </w14:solidFill>
                </w14:textFill>
              </w:rPr>
              <w:t>▲3.数据贯通，构建一体化信息体系：打破各模块间的数据壁垒，实现现金出纳、应收应付、全面预算、报销管理、网上报销、科室成本核算数据的无缝对接与深度融合。确保财务数据在各模块间实时流转、一致同源，同时建立与医院HIS系统的数据交互接口，形成“业务-财务”一体化数据链条。强化数据标准化管理，统一数据口径、编码规则和统计标准，提升数据质量与使用价值。</w:t>
            </w:r>
          </w:p>
          <w:p w14:paraId="52986167">
            <w:pPr>
              <w:numPr>
                <w:ilvl w:val="0"/>
                <w:numId w:val="0"/>
              </w:numPr>
              <w:spacing w:line="240" w:lineRule="auto"/>
              <w:jc w:val="left"/>
              <w:rPr>
                <w:rFonts w:hint="eastAsia" w:ascii="宋体" w:hAnsi="宋体" w:eastAsia="宋体" w:cs="宋体"/>
                <w:b w:val="0"/>
                <w:bCs w:val="0"/>
                <w:i w:val="0"/>
                <w:iCs w:val="0"/>
                <w:caps w:val="0"/>
                <w:color w:val="auto"/>
                <w:spacing w:val="0"/>
                <w:sz w:val="24"/>
                <w:szCs w:val="24"/>
                <w:highlight w:val="none"/>
                <w:lang w:val="en-US" w:eastAsia="zh-CN"/>
              </w:rPr>
            </w:pPr>
            <w:r>
              <w:rPr>
                <w:rFonts w:hint="eastAsia" w:ascii="宋体" w:hAnsi="宋体" w:eastAsia="宋体" w:cs="宋体"/>
                <w:b w:val="0"/>
                <w:bCs w:val="0"/>
                <w:i w:val="0"/>
                <w:iCs w:val="0"/>
                <w:caps w:val="0"/>
                <w:color w:val="000000" w:themeColor="text1"/>
                <w:spacing w:val="0"/>
                <w:sz w:val="24"/>
                <w:szCs w:val="24"/>
                <w:highlight w:val="none"/>
                <w:lang w:val="en-US" w:eastAsia="zh-CN"/>
                <w14:textFill>
                  <w14:solidFill>
                    <w14:schemeClr w14:val="tx1"/>
                  </w14:solidFill>
                </w14:textFill>
              </w:rPr>
              <w:t>4.安全</w:t>
            </w:r>
            <w:r>
              <w:rPr>
                <w:rFonts w:hint="eastAsia" w:ascii="宋体" w:hAnsi="宋体" w:eastAsia="宋体" w:cs="宋体"/>
                <w:b w:val="0"/>
                <w:bCs w:val="0"/>
                <w:i w:val="0"/>
                <w:iCs w:val="0"/>
                <w:caps w:val="0"/>
                <w:color w:val="auto"/>
                <w:spacing w:val="0"/>
                <w:sz w:val="24"/>
                <w:szCs w:val="24"/>
                <w:highlight w:val="none"/>
                <w:lang w:val="en-US" w:eastAsia="zh-CN"/>
              </w:rPr>
              <w:t>可靠，保障系统稳定运行：严格遵循信息安全相关法律法规及行业标准，构建全方位、多层次的安全防护体系。加强系统权限管理，实现精细化的权限分配与操作审计；强化数据加密、备份与恢复机制，确保财务数据的完整性、保密性和可用性；提升系统架构的稳定性与扩展性，能够应对业务量增长和功能迭代需求，保障系统7×24小时稳定可靠运行。</w:t>
            </w:r>
          </w:p>
          <w:p w14:paraId="58DAA6B2">
            <w:pPr>
              <w:numPr>
                <w:ilvl w:val="0"/>
                <w:numId w:val="0"/>
              </w:numPr>
              <w:spacing w:line="240" w:lineRule="auto"/>
              <w:jc w:val="left"/>
              <w:rPr>
                <w:rFonts w:hint="eastAsia" w:ascii="宋体" w:hAnsi="宋体" w:eastAsia="宋体" w:cs="宋体"/>
                <w:b w:val="0"/>
                <w:bCs w:val="0"/>
                <w:i w:val="0"/>
                <w:iCs w:val="0"/>
                <w:caps w:val="0"/>
                <w:color w:val="auto"/>
                <w:spacing w:val="0"/>
                <w:sz w:val="24"/>
                <w:szCs w:val="24"/>
                <w:highlight w:val="none"/>
                <w:lang w:val="en-US" w:eastAsia="zh-CN"/>
              </w:rPr>
            </w:pPr>
            <w:r>
              <w:rPr>
                <w:rFonts w:hint="eastAsia" w:ascii="宋体" w:hAnsi="宋体" w:eastAsia="宋体" w:cs="宋体"/>
                <w:b w:val="0"/>
                <w:bCs w:val="0"/>
                <w:i w:val="0"/>
                <w:iCs w:val="0"/>
                <w:caps w:val="0"/>
                <w:color w:val="auto"/>
                <w:spacing w:val="0"/>
                <w:sz w:val="24"/>
                <w:szCs w:val="24"/>
                <w:highlight w:val="none"/>
                <w:lang w:val="en-US" w:eastAsia="zh-CN"/>
              </w:rPr>
              <w:t>5.合规适配，满足政策监管要求：系统升级需全面适配国家、行业及地方关于医疗卫生财务管理制度、会计核算规范、预算管理、税收征管等相关政策要求。确保现金出纳、应付等业务处理流程、数据记录、报表输出等均符合合规性规定，能够有效支撑财务审计、专项检查等工作，降低合规风险。</w:t>
            </w:r>
          </w:p>
          <w:p w14:paraId="4FCA685F">
            <w:pPr>
              <w:numPr>
                <w:ilvl w:val="0"/>
                <w:numId w:val="0"/>
              </w:numPr>
              <w:spacing w:line="240" w:lineRule="auto"/>
              <w:jc w:val="left"/>
              <w:rPr>
                <w:rFonts w:hint="eastAsia" w:ascii="宋体" w:hAnsi="宋体" w:eastAsia="宋体" w:cs="宋体"/>
                <w:b w:val="0"/>
                <w:bCs w:val="0"/>
                <w:i w:val="0"/>
                <w:iCs w:val="0"/>
                <w:caps w:val="0"/>
                <w:color w:val="auto"/>
                <w:spacing w:val="0"/>
                <w:sz w:val="24"/>
                <w:szCs w:val="24"/>
                <w:highlight w:val="none"/>
                <w:lang w:val="en-US" w:eastAsia="zh-CN"/>
              </w:rPr>
            </w:pPr>
            <w:r>
              <w:rPr>
                <w:rFonts w:hint="eastAsia" w:ascii="宋体" w:hAnsi="宋体" w:eastAsia="宋体" w:cs="宋体"/>
                <w:b w:val="0"/>
                <w:bCs w:val="0"/>
                <w:i w:val="0"/>
                <w:iCs w:val="0"/>
                <w:caps w:val="0"/>
                <w:color w:val="auto"/>
                <w:spacing w:val="0"/>
                <w:sz w:val="24"/>
                <w:szCs w:val="24"/>
                <w:highlight w:val="none"/>
                <w:lang w:val="en-US" w:eastAsia="zh-CN"/>
              </w:rPr>
              <w:t>6.易用友好，降低系统推广成本：系统界面设计应简洁直观、操作便捷，符合财务人员的工作习惯，降低学习和操作难度。提供完善的系统操作手册、在线培训视频等支持材料，同时建立高效的技术支持体系，及时响应和解决系统使用过程中出现的问题。确保系统能够快速推广落地，实现全员顺畅使用。</w:t>
            </w:r>
          </w:p>
          <w:p w14:paraId="15E1F48D">
            <w:pPr>
              <w:numPr>
                <w:ilvl w:val="0"/>
                <w:numId w:val="0"/>
              </w:numPr>
              <w:spacing w:line="240" w:lineRule="auto"/>
              <w:jc w:val="left"/>
              <w:rPr>
                <w:rFonts w:hint="eastAsia" w:ascii="宋体" w:hAnsi="宋体" w:eastAsia="宋体" w:cs="宋体"/>
                <w:b w:val="0"/>
                <w:bCs w:val="0"/>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b w:val="0"/>
                <w:bCs w:val="0"/>
                <w:i w:val="0"/>
                <w:iCs w:val="0"/>
                <w:caps w:val="0"/>
                <w:color w:val="auto"/>
                <w:spacing w:val="0"/>
                <w:sz w:val="24"/>
                <w:szCs w:val="24"/>
                <w:highlight w:val="none"/>
                <w:lang w:val="en-US" w:eastAsia="zh-CN"/>
              </w:rPr>
              <w:t>7.合规性与政策适配要求：系统升级需全面契合政府会计制度及医疗行业相关财务法规，集团财务模块需精准实现“双功能、双基础、双报告”核算模式，确保会计科目设置、账务处理流程、财务报告编制等环节完全符合政策规范，可通过财政、审计等部门的合规性核</w:t>
            </w:r>
            <w:r>
              <w:rPr>
                <w:rFonts w:hint="eastAsia" w:ascii="宋体" w:hAnsi="宋体" w:eastAsia="宋体" w:cs="宋体"/>
                <w:b w:val="0"/>
                <w:bCs w:val="0"/>
                <w:i w:val="0"/>
                <w:iCs w:val="0"/>
                <w:caps w:val="0"/>
                <w:color w:val="000000" w:themeColor="text1"/>
                <w:spacing w:val="0"/>
                <w:sz w:val="24"/>
                <w:szCs w:val="24"/>
                <w:highlight w:val="none"/>
                <w:lang w:val="en-US" w:eastAsia="zh-CN"/>
                <w14:textFill>
                  <w14:solidFill>
                    <w14:schemeClr w14:val="tx1"/>
                  </w14:solidFill>
                </w14:textFill>
              </w:rPr>
              <w:t>查。</w:t>
            </w:r>
          </w:p>
          <w:p w14:paraId="03EC2890">
            <w:pPr>
              <w:numPr>
                <w:ilvl w:val="0"/>
                <w:numId w:val="0"/>
              </w:numPr>
              <w:spacing w:line="240" w:lineRule="auto"/>
              <w:jc w:val="left"/>
              <w:rPr>
                <w:rFonts w:hint="eastAsia" w:ascii="宋体" w:hAnsi="宋体" w:eastAsia="宋体" w:cs="宋体"/>
                <w:b w:val="0"/>
                <w:bCs w:val="0"/>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highlight w:val="none"/>
                <w:lang w:val="en-US" w:eastAsia="zh-CN"/>
                <w14:textFill>
                  <w14:solidFill>
                    <w14:schemeClr w14:val="tx1"/>
                  </w14:solidFill>
                </w14:textFill>
              </w:rPr>
              <w:t>▲8.数据平滑升迁要求：建立安全、高效的数据升迁机制，确保现有系统中的财务数据（包括历史凭证、账簿、报表、往来账款、银行账户信息等）完整、准确迁移至新系统。迁移过程中需避免数据丢失、篡改或逻辑错误，迁移后数据可追溯、可验证，保障财务工作的连续性。</w:t>
            </w:r>
          </w:p>
          <w:p w14:paraId="5CD7CA13">
            <w:pPr>
              <w:numPr>
                <w:ilvl w:val="0"/>
                <w:numId w:val="0"/>
              </w:numPr>
              <w:spacing w:line="240" w:lineRule="auto"/>
              <w:jc w:val="left"/>
              <w:rPr>
                <w:rFonts w:hint="eastAsia" w:ascii="宋体" w:hAnsi="宋体" w:eastAsia="宋体" w:cs="宋体"/>
                <w:b w:val="0"/>
                <w:bCs w:val="0"/>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highlight w:val="none"/>
                <w:lang w:val="en-US" w:eastAsia="zh-CN"/>
                <w14:textFill>
                  <w14:solidFill>
                    <w14:schemeClr w14:val="tx1"/>
                  </w14:solidFill>
                </w14:textFill>
              </w:rPr>
              <w:t>●9.系统平台性能要求：升级后的系统平台需具备稳定的运行能力，支持医院及集团多用户同时在线操作。同时需具备良好的兼容性和扩展性，支持信创适配，且可适配主流操作系统、数据库及第三方软件，保留原系统中与HIS、资产等系统的对接接口，预留第三方系统接口扩展，满足未来业务发展需求。</w:t>
            </w:r>
          </w:p>
          <w:p w14:paraId="3C44D512">
            <w:pPr>
              <w:numPr>
                <w:ilvl w:val="0"/>
                <w:numId w:val="0"/>
              </w:numPr>
              <w:spacing w:line="240" w:lineRule="auto"/>
              <w:jc w:val="left"/>
              <w:rPr>
                <w:rFonts w:hint="eastAsia" w:ascii="宋体" w:hAnsi="宋体" w:eastAsia="宋体" w:cs="宋体"/>
                <w:b w:val="0"/>
                <w:bCs w:val="0"/>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highlight w:val="none"/>
                <w:lang w:val="en-US" w:eastAsia="zh-CN"/>
                <w14:textFill>
                  <w14:solidFill>
                    <w14:schemeClr w14:val="tx1"/>
                  </w14:solidFill>
                </w14:textFill>
              </w:rPr>
              <w:t>10.集团财务集中管控要求：集团财务模块需实现对各下属医院财务数据的集中采集、实时监控与统一管理，支持集团层面的财务、资金统筹调度、财务分析与风险预警。可根据管理需求灵活设置权限体系，确保各层级单位在授权范围内开展财务工作，同时保障集团对整体财务状况的全面掌控。</w:t>
            </w:r>
          </w:p>
          <w:p w14:paraId="3E667CC9">
            <w:pPr>
              <w:numPr>
                <w:ilvl w:val="0"/>
                <w:numId w:val="0"/>
              </w:numPr>
              <w:spacing w:line="240" w:lineRule="auto"/>
              <w:jc w:val="left"/>
              <w:rPr>
                <w:rFonts w:hint="eastAsia" w:ascii="宋体" w:hAnsi="宋体" w:eastAsia="宋体" w:cs="宋体"/>
                <w:b w:val="0"/>
                <w:bCs w:val="0"/>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highlight w:val="none"/>
                <w:lang w:val="en-US" w:eastAsia="zh-CN"/>
                <w14:textFill>
                  <w14:solidFill>
                    <w14:schemeClr w14:val="tx1"/>
                  </w14:solidFill>
                </w14:textFill>
              </w:rPr>
              <w:t>11.医院报表精准高效要求：报表模块需具备强大的报表编制、查询与分析功能，可快速生成资产负债表、收入费用表、现金流量表等法定报表，以及医院常用内部管理报表。支持报表格式自定义、数据钻取（从报表数据追溯至原始凭证），确保报表数据的及时性、准确性和实用性。</w:t>
            </w:r>
          </w:p>
          <w:p w14:paraId="736409BF">
            <w:pPr>
              <w:numPr>
                <w:ilvl w:val="0"/>
                <w:numId w:val="0"/>
              </w:numPr>
              <w:spacing w:line="240" w:lineRule="auto"/>
              <w:jc w:val="left"/>
              <w:rPr>
                <w:rFonts w:hint="eastAsia" w:ascii="宋体" w:hAnsi="宋体" w:eastAsia="宋体" w:cs="宋体"/>
                <w:b w:val="0"/>
                <w:bCs w:val="0"/>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highlight w:val="none"/>
                <w:lang w:val="en-US" w:eastAsia="zh-CN"/>
                <w14:textFill>
                  <w14:solidFill>
                    <w14:schemeClr w14:val="tx1"/>
                  </w14:solidFill>
                </w14:textFill>
              </w:rPr>
              <w:t>12.银医直连安全便捷要求：银医直连模块需实现医院财务系统与合作银行系统的无缝对接，支持资金实时查询、转账支付、自动对账等功能。交易过程需采用加密传输、身份认证等安全技术，保障资金交易安全，防范金融风险。需支持灵活定义支付审批流程，实现线上审批与资金支付的联动，提升资金结算效率，减少人工操作失误。</w:t>
            </w:r>
          </w:p>
          <w:p w14:paraId="6B3E16E6">
            <w:pPr>
              <w:numPr>
                <w:ilvl w:val="0"/>
                <w:numId w:val="0"/>
              </w:numPr>
              <w:spacing w:line="240" w:lineRule="auto"/>
              <w:jc w:val="left"/>
              <w:rPr>
                <w:rFonts w:hint="eastAsia" w:ascii="宋体" w:hAnsi="宋体" w:eastAsia="宋体" w:cs="宋体"/>
                <w:b w:val="0"/>
                <w:bCs w:val="0"/>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highlight w:val="none"/>
                <w:lang w:val="en-US" w:eastAsia="zh-CN"/>
                <w14:textFill>
                  <w14:solidFill>
                    <w14:schemeClr w14:val="tx1"/>
                  </w14:solidFill>
                </w14:textFill>
              </w:rPr>
              <w:t>▲13.权限、数据权限分配要求：建立精细化的权限与数据权限分配体系。明确各岗位、各层级人员的系统操作权限和数据查看、编辑、审批权限，严格区分财务管理人员、出纳人员、核算人员、审计人员等不同岗位的权限边界，杜绝越权操作。数据权限需按科室、模块、数据类型精准分配，确保各用户仅能访问其工作所需的财务数据，既保障数据安全，又不影响业务办理效率；定期开展权限核查，及时清理冗余权限、闲置权限，确保权限分配与岗位职责、业务需求精准匹配。</w:t>
            </w:r>
          </w:p>
          <w:p w14:paraId="35C92EDA">
            <w:pPr>
              <w:numPr>
                <w:ilvl w:val="0"/>
                <w:numId w:val="0"/>
              </w:numPr>
              <w:spacing w:line="240" w:lineRule="auto"/>
              <w:jc w:val="left"/>
              <w:rPr>
                <w:rFonts w:hint="eastAsia" w:ascii="宋体" w:hAnsi="宋体" w:eastAsia="宋体" w:cs="宋体"/>
                <w:b w:val="0"/>
                <w:bCs w:val="0"/>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highlight w:val="none"/>
                <w:lang w:val="en-US" w:eastAsia="zh-CN"/>
                <w14:textFill>
                  <w14:solidFill>
                    <w14:schemeClr w14:val="tx1"/>
                  </w14:solidFill>
                </w14:textFill>
              </w:rPr>
              <w:t>▲14.安全要求：系统升级实施方需出具正式的安全等保证书，明确承诺升级后的财务系统符合国家信息安全等级保护相关标准及医疗行业信息安全规范，达到信息系统安全等级保护备案证明3级要求。</w:t>
            </w:r>
          </w:p>
          <w:p w14:paraId="15B796EE">
            <w:pPr>
              <w:numPr>
                <w:ilvl w:val="0"/>
                <w:numId w:val="0"/>
              </w:numPr>
              <w:spacing w:line="240" w:lineRule="auto"/>
              <w:jc w:val="left"/>
              <w:rPr>
                <w:rFonts w:hint="eastAsia" w:ascii="宋体" w:hAnsi="宋体" w:eastAsia="宋体" w:cs="宋体"/>
                <w:b w:val="0"/>
                <w:bCs w:val="0"/>
                <w:i w:val="0"/>
                <w:iCs w:val="0"/>
                <w:caps w:val="0"/>
                <w:color w:val="auto"/>
                <w:spacing w:val="0"/>
                <w:sz w:val="24"/>
                <w:szCs w:val="24"/>
                <w:highlight w:val="none"/>
                <w:lang w:val="en-US" w:eastAsia="zh-CN"/>
              </w:rPr>
            </w:pPr>
            <w:r>
              <w:rPr>
                <w:rFonts w:hint="eastAsia" w:ascii="宋体" w:hAnsi="宋体" w:eastAsia="宋体" w:cs="宋体"/>
                <w:b w:val="0"/>
                <w:bCs w:val="0"/>
                <w:i w:val="0"/>
                <w:iCs w:val="0"/>
                <w:caps w:val="0"/>
                <w:color w:val="000000" w:themeColor="text1"/>
                <w:spacing w:val="0"/>
                <w:sz w:val="24"/>
                <w:szCs w:val="24"/>
                <w:highlight w:val="none"/>
                <w:lang w:val="en-US" w:eastAsia="zh-CN"/>
                <w14:textFill>
                  <w14:solidFill>
                    <w14:schemeClr w14:val="tx1"/>
                  </w14:solidFill>
                </w14:textFill>
              </w:rPr>
              <w:t>▲15.本</w:t>
            </w:r>
            <w:r>
              <w:rPr>
                <w:rFonts w:hint="eastAsia" w:ascii="宋体" w:hAnsi="宋体" w:eastAsia="宋体" w:cs="宋体"/>
                <w:b w:val="0"/>
                <w:bCs w:val="0"/>
                <w:i w:val="0"/>
                <w:iCs w:val="0"/>
                <w:caps w:val="0"/>
                <w:color w:val="auto"/>
                <w:spacing w:val="0"/>
                <w:sz w:val="24"/>
                <w:szCs w:val="24"/>
                <w:highlight w:val="none"/>
                <w:lang w:val="en-US" w:eastAsia="zh-CN"/>
              </w:rPr>
              <w:t>项目需涵盖医院财务核算、医院报销、结算支付与HIS、资产等系统打通接口的技术服务费用，以及由此产生的相关费用。</w:t>
            </w:r>
          </w:p>
          <w:p w14:paraId="69754106">
            <w:pPr>
              <w:numPr>
                <w:numId w:val="0"/>
              </w:numPr>
              <w:spacing w:line="240" w:lineRule="auto"/>
              <w:jc w:val="left"/>
              <w:rPr>
                <w:rFonts w:hint="default"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auto"/>
                <w:spacing w:val="0"/>
                <w:sz w:val="24"/>
                <w:szCs w:val="24"/>
                <w:highlight w:val="none"/>
                <w:lang w:val="en-US" w:eastAsia="zh-CN"/>
              </w:rPr>
              <w:t>16.交付期：3个月</w:t>
            </w:r>
            <w:r>
              <w:rPr>
                <w:rFonts w:hint="eastAsia" w:ascii="宋体" w:hAnsi="宋体" w:eastAsia="宋体" w:cs="宋体"/>
                <w:color w:val="000000"/>
                <w:sz w:val="24"/>
                <w:szCs w:val="24"/>
                <w:lang w:val="en-US" w:eastAsia="zh-CN"/>
              </w:rPr>
              <w:t>交付并通过验收</w:t>
            </w:r>
            <w:r>
              <w:rPr>
                <w:rFonts w:hint="eastAsia" w:ascii="宋体" w:hAnsi="宋体" w:eastAsia="宋体" w:cs="宋体"/>
                <w:b w:val="0"/>
                <w:bCs w:val="0"/>
                <w:i w:val="0"/>
                <w:iCs w:val="0"/>
                <w:caps w:val="0"/>
                <w:color w:val="auto"/>
                <w:spacing w:val="0"/>
                <w:sz w:val="24"/>
                <w:szCs w:val="24"/>
                <w:highlight w:val="none"/>
                <w:lang w:val="en-US" w:eastAsia="zh-CN"/>
              </w:rPr>
              <w:t>。</w:t>
            </w:r>
          </w:p>
          <w:p w14:paraId="68B3D079">
            <w:pPr>
              <w:numPr>
                <w:numId w:val="0"/>
              </w:numPr>
              <w:spacing w:line="240" w:lineRule="auto"/>
              <w:jc w:val="left"/>
              <w:rPr>
                <w:rFonts w:hint="default"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auto"/>
                <w:spacing w:val="0"/>
                <w:sz w:val="24"/>
                <w:szCs w:val="24"/>
                <w:highlight w:val="none"/>
                <w:lang w:val="en-US" w:eastAsia="zh-CN"/>
              </w:rPr>
              <w:t>17.质保期：不少于1年</w:t>
            </w:r>
            <w:r>
              <w:rPr>
                <w:rFonts w:hint="eastAsia" w:ascii="宋体" w:hAnsi="宋体" w:eastAsia="宋体" w:cs="宋体"/>
                <w:color w:val="000000"/>
                <w:sz w:val="24"/>
                <w:szCs w:val="24"/>
                <w:lang w:val="en-US" w:eastAsia="zh-CN"/>
              </w:rPr>
              <w:t>。</w:t>
            </w:r>
          </w:p>
          <w:p w14:paraId="50ABEA52">
            <w:pPr>
              <w:numPr>
                <w:ilvl w:val="0"/>
                <w:numId w:val="0"/>
              </w:numPr>
              <w:spacing w:line="240" w:lineRule="auto"/>
              <w:jc w:val="left"/>
              <w:rPr>
                <w:rFonts w:hint="default" w:ascii="宋体" w:hAnsi="宋体" w:eastAsia="宋体" w:cs="宋体"/>
                <w:b w:val="0"/>
                <w:bCs w:val="0"/>
                <w:i w:val="0"/>
                <w:iCs w:val="0"/>
                <w:caps w:val="0"/>
                <w:color w:val="auto"/>
                <w:spacing w:val="0"/>
                <w:sz w:val="24"/>
                <w:szCs w:val="24"/>
                <w:highlight w:val="none"/>
                <w:lang w:val="en-US" w:eastAsia="zh-CN"/>
              </w:rPr>
            </w:pPr>
            <w:r>
              <w:rPr>
                <w:rFonts w:hint="eastAsia" w:ascii="宋体" w:hAnsi="宋体" w:eastAsia="宋体" w:cs="宋体"/>
                <w:b w:val="0"/>
                <w:bCs w:val="0"/>
                <w:i w:val="0"/>
                <w:iCs w:val="0"/>
                <w:caps w:val="0"/>
                <w:color w:val="auto"/>
                <w:spacing w:val="0"/>
                <w:sz w:val="24"/>
                <w:szCs w:val="24"/>
                <w:highlight w:val="none"/>
                <w:lang w:val="en-US" w:eastAsia="zh-CN"/>
              </w:rPr>
              <w:t>18.</w:t>
            </w:r>
            <w:r>
              <w:rPr>
                <w:rFonts w:hint="eastAsia" w:ascii="宋体" w:hAnsi="宋体" w:eastAsia="宋体" w:cs="宋体"/>
                <w:color w:val="000000"/>
                <w:sz w:val="24"/>
                <w:szCs w:val="24"/>
                <w:lang w:val="en-US" w:eastAsia="zh-CN"/>
              </w:rPr>
              <w:t xml:space="preserve">付款方式：合同签订后20个工作日内，采购人支付合同金额30%，成交供应商完成所有服务安装调试完毕并验收合格后3个月内，采购人支付合同金额70%。采购人在所有支付款项之前，均应收到供应商提供的合法有效的发票，供应商未开具合法有效的发票的，采购人有权不支付合同款。 </w:t>
            </w:r>
          </w:p>
        </w:tc>
      </w:tr>
      <w:tr w14:paraId="27D9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14:paraId="0EB3EAB0">
            <w:pPr>
              <w:spacing w:line="480" w:lineRule="auto"/>
              <w:jc w:val="left"/>
              <w:rPr>
                <w:color w:val="auto"/>
                <w:highlight w:val="none"/>
                <w:vertAlign w:val="baseline"/>
              </w:rPr>
            </w:pPr>
            <w:r>
              <w:rPr>
                <w:rFonts w:hint="eastAsia" w:ascii="宋体" w:hAnsi="宋体" w:eastAsia="宋体" w:cs="宋体"/>
                <w:b/>
                <w:bCs/>
                <w:i w:val="0"/>
                <w:iCs w:val="0"/>
                <w:caps w:val="0"/>
                <w:color w:val="auto"/>
                <w:spacing w:val="0"/>
                <w:sz w:val="30"/>
                <w:szCs w:val="30"/>
                <w:highlight w:val="none"/>
                <w:lang w:val="en-US" w:eastAsia="zh-CN"/>
              </w:rPr>
              <w:t>三、技术参数</w:t>
            </w:r>
          </w:p>
        </w:tc>
      </w:tr>
      <w:tr w14:paraId="2539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0A5549E7">
            <w:pPr>
              <w:spacing w:line="480" w:lineRule="auto"/>
              <w:jc w:val="center"/>
              <w:rPr>
                <w:rFonts w:hint="eastAsia" w:eastAsiaTheme="minorEastAsia"/>
                <w:b/>
                <w:bCs w:val="0"/>
                <w:color w:val="auto"/>
                <w:sz w:val="24"/>
                <w:szCs w:val="24"/>
                <w:highlight w:val="none"/>
                <w:vertAlign w:val="baseline"/>
                <w:lang w:val="en-US" w:eastAsia="zh-CN"/>
              </w:rPr>
            </w:pPr>
            <w:r>
              <w:rPr>
                <w:rFonts w:hint="eastAsia" w:asciiTheme="minorEastAsia" w:hAnsiTheme="minorEastAsia"/>
                <w:b/>
                <w:bCs w:val="0"/>
                <w:color w:val="auto"/>
                <w:sz w:val="24"/>
                <w:szCs w:val="24"/>
                <w:highlight w:val="none"/>
              </w:rPr>
              <w:t>项号</w:t>
            </w:r>
          </w:p>
        </w:tc>
        <w:tc>
          <w:tcPr>
            <w:tcW w:w="887" w:type="dxa"/>
          </w:tcPr>
          <w:p w14:paraId="4F4A76C9">
            <w:pPr>
              <w:spacing w:line="480" w:lineRule="auto"/>
              <w:jc w:val="center"/>
              <w:rPr>
                <w:rFonts w:hint="eastAsia" w:eastAsiaTheme="minorEastAsia"/>
                <w:b/>
                <w:bCs w:val="0"/>
                <w:color w:val="auto"/>
                <w:sz w:val="24"/>
                <w:szCs w:val="24"/>
                <w:highlight w:val="none"/>
                <w:vertAlign w:val="baseline"/>
                <w:lang w:val="en-US" w:eastAsia="zh-CN"/>
              </w:rPr>
            </w:pPr>
            <w:r>
              <w:rPr>
                <w:rFonts w:hint="eastAsia"/>
                <w:b/>
                <w:bCs w:val="0"/>
                <w:color w:val="auto"/>
                <w:sz w:val="24"/>
                <w:szCs w:val="24"/>
                <w:highlight w:val="none"/>
                <w:vertAlign w:val="baseline"/>
                <w:lang w:val="en-US" w:eastAsia="zh-CN"/>
              </w:rPr>
              <w:t>名称</w:t>
            </w:r>
          </w:p>
        </w:tc>
        <w:tc>
          <w:tcPr>
            <w:tcW w:w="10763" w:type="dxa"/>
          </w:tcPr>
          <w:p w14:paraId="15777A4E">
            <w:pPr>
              <w:spacing w:line="480" w:lineRule="auto"/>
              <w:jc w:val="center"/>
              <w:rPr>
                <w:b/>
                <w:bCs w:val="0"/>
                <w:color w:val="auto"/>
                <w:sz w:val="24"/>
                <w:szCs w:val="24"/>
                <w:highlight w:val="none"/>
                <w:vertAlign w:val="baseline"/>
              </w:rPr>
            </w:pPr>
            <w:r>
              <w:rPr>
                <w:rFonts w:hint="eastAsia" w:asciiTheme="minorEastAsia" w:hAnsiTheme="minorEastAsia"/>
                <w:b/>
                <w:bCs w:val="0"/>
                <w:color w:val="auto"/>
                <w:sz w:val="24"/>
                <w:szCs w:val="24"/>
                <w:highlight w:val="none"/>
              </w:rPr>
              <w:t>参数描述</w:t>
            </w:r>
          </w:p>
        </w:tc>
        <w:tc>
          <w:tcPr>
            <w:tcW w:w="862" w:type="dxa"/>
          </w:tcPr>
          <w:p w14:paraId="3E046874">
            <w:pPr>
              <w:spacing w:line="480" w:lineRule="auto"/>
              <w:jc w:val="center"/>
              <w:rPr>
                <w:b/>
                <w:bCs w:val="0"/>
                <w:color w:val="auto"/>
                <w:sz w:val="24"/>
                <w:szCs w:val="24"/>
                <w:highlight w:val="none"/>
                <w:vertAlign w:val="baseline"/>
              </w:rPr>
            </w:pPr>
            <w:r>
              <w:rPr>
                <w:rFonts w:hint="eastAsia" w:asciiTheme="minorEastAsia" w:hAnsiTheme="minorEastAsia"/>
                <w:b/>
                <w:bCs w:val="0"/>
                <w:color w:val="auto"/>
                <w:sz w:val="24"/>
                <w:szCs w:val="24"/>
                <w:highlight w:val="none"/>
              </w:rPr>
              <w:t>数量</w:t>
            </w:r>
          </w:p>
        </w:tc>
        <w:tc>
          <w:tcPr>
            <w:tcW w:w="918" w:type="dxa"/>
          </w:tcPr>
          <w:p w14:paraId="0F225E14">
            <w:pPr>
              <w:spacing w:line="480" w:lineRule="auto"/>
              <w:jc w:val="center"/>
              <w:rPr>
                <w:rFonts w:hint="eastAsia" w:eastAsiaTheme="minorEastAsia"/>
                <w:b/>
                <w:bCs w:val="0"/>
                <w:color w:val="auto"/>
                <w:sz w:val="24"/>
                <w:szCs w:val="24"/>
                <w:highlight w:val="none"/>
                <w:vertAlign w:val="baseline"/>
                <w:lang w:val="en-US" w:eastAsia="zh-CN"/>
              </w:rPr>
            </w:pPr>
            <w:r>
              <w:rPr>
                <w:rFonts w:hint="eastAsia"/>
                <w:b/>
                <w:bCs w:val="0"/>
                <w:color w:val="auto"/>
                <w:sz w:val="24"/>
                <w:szCs w:val="24"/>
                <w:highlight w:val="none"/>
                <w:vertAlign w:val="baseline"/>
                <w:lang w:val="en-US" w:eastAsia="zh-CN"/>
              </w:rPr>
              <w:t>单位</w:t>
            </w:r>
          </w:p>
        </w:tc>
      </w:tr>
      <w:tr w14:paraId="12F1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top"/>
          </w:tcPr>
          <w:p w14:paraId="73783393">
            <w:pPr>
              <w:spacing w:line="480" w:lineRule="auto"/>
              <w:jc w:val="center"/>
              <w:rPr>
                <w:color w:val="auto"/>
                <w:highlight w:val="none"/>
                <w:vertAlign w:val="baseline"/>
              </w:rPr>
            </w:pPr>
            <w:r>
              <w:rPr>
                <w:rFonts w:hint="eastAsia"/>
                <w:color w:val="auto"/>
                <w:highlight w:val="none"/>
              </w:rPr>
              <w:t>1</w:t>
            </w:r>
          </w:p>
        </w:tc>
        <w:tc>
          <w:tcPr>
            <w:tcW w:w="887" w:type="dxa"/>
            <w:vAlign w:val="top"/>
          </w:tcPr>
          <w:p w14:paraId="30608C5D">
            <w:pPr>
              <w:spacing w:line="480" w:lineRule="auto"/>
              <w:jc w:val="center"/>
              <w:rPr>
                <w:color w:val="auto"/>
                <w:highlight w:val="none"/>
                <w:vertAlign w:val="baseline"/>
              </w:rPr>
            </w:pPr>
            <w:r>
              <w:rPr>
                <w:rFonts w:hint="eastAsia"/>
                <w:color w:val="auto"/>
                <w:highlight w:val="none"/>
              </w:rPr>
              <w:t>基础平台</w:t>
            </w:r>
          </w:p>
        </w:tc>
        <w:tc>
          <w:tcPr>
            <w:tcW w:w="10763" w:type="dxa"/>
            <w:vAlign w:val="top"/>
          </w:tcPr>
          <w:p w14:paraId="3570A9E1">
            <w:pPr>
              <w:spacing w:line="276" w:lineRule="auto"/>
              <w:ind w:firstLine="420" w:firstLineChars="200"/>
              <w:jc w:val="left"/>
              <w:rPr>
                <w:color w:val="auto"/>
                <w:highlight w:val="none"/>
              </w:rPr>
            </w:pPr>
            <w:r>
              <w:rPr>
                <w:rFonts w:hint="eastAsia"/>
                <w:color w:val="auto"/>
                <w:highlight w:val="none"/>
              </w:rPr>
              <w:t>基于医疗集团平台型BS架构，包含第三方系统集成接口平台、权限管理、流程管理、动态建模平台、智能分析平台、移动自助服务平台等，支持系统的高效、稳定、安全运行，支持个性化开发。支持信创国产化。用于搭建医疗机构信息系统的基础架构和基本信息。建立统一的会计核算体系、统一的组织人员体系、统一的物料档案体系、统一的资产设备档案体系、统一的报表分析体系、实现基础信息统一和信息整合。建立基于标准的信息交换与共享，实现部门间、不同的业务系统间的信息交换。包括多种应用支撑工具，包括注册管理、授权管理（访问控制）、统一门户、规则管理、流程配置、预警控制、运营监控插件。为实现多种复杂功能的可配置性，嵌入式的系统应用提供可能。</w:t>
            </w:r>
          </w:p>
          <w:p w14:paraId="14C61927">
            <w:pPr>
              <w:spacing w:line="276" w:lineRule="auto"/>
              <w:jc w:val="left"/>
              <w:rPr>
                <w:color w:val="auto"/>
                <w:highlight w:val="none"/>
                <w:vertAlign w:val="baseline"/>
              </w:rPr>
            </w:pPr>
            <w:r>
              <w:rPr>
                <w:rFonts w:hint="eastAsia" w:asciiTheme="minorEastAsia" w:hAnsiTheme="minorEastAsia"/>
                <w:color w:val="auto"/>
                <w:highlight w:val="none"/>
              </w:rPr>
              <w:t>▲</w:t>
            </w:r>
            <w:r>
              <w:rPr>
                <w:rFonts w:hint="eastAsia"/>
                <w:color w:val="auto"/>
                <w:highlight w:val="none"/>
              </w:rPr>
              <w:t>升级后的基础平台需具备稳定的运行能力，同时需具备良好的兼容性和扩展性，支持信创适配，且可适配主流操作系统、数据库及第三方软件，保留现有系统中与HIS、资产</w:t>
            </w:r>
            <w:r>
              <w:rPr>
                <w:rFonts w:hint="eastAsia"/>
                <w:color w:val="auto"/>
                <w:highlight w:val="none"/>
                <w:lang w:eastAsia="zh-CN"/>
              </w:rPr>
              <w:t>、</w:t>
            </w:r>
            <w:r>
              <w:rPr>
                <w:rFonts w:hint="eastAsia"/>
                <w:color w:val="auto"/>
                <w:highlight w:val="none"/>
                <w:lang w:val="en-US" w:eastAsia="zh-CN"/>
              </w:rPr>
              <w:t>绩效</w:t>
            </w:r>
            <w:r>
              <w:rPr>
                <w:rFonts w:hint="eastAsia"/>
                <w:color w:val="auto"/>
                <w:highlight w:val="none"/>
              </w:rPr>
              <w:t>等系统的对接接口，预留第三方系统接口扩展，满足未来业务发展需求。</w:t>
            </w:r>
          </w:p>
        </w:tc>
        <w:tc>
          <w:tcPr>
            <w:tcW w:w="862" w:type="dxa"/>
            <w:vAlign w:val="top"/>
          </w:tcPr>
          <w:p w14:paraId="017A94F9">
            <w:pPr>
              <w:spacing w:line="480" w:lineRule="auto"/>
              <w:jc w:val="center"/>
              <w:rPr>
                <w:color w:val="auto"/>
                <w:highlight w:val="none"/>
                <w:vertAlign w:val="baseline"/>
              </w:rPr>
            </w:pPr>
            <w:r>
              <w:rPr>
                <w:rFonts w:hint="eastAsia"/>
                <w:color w:val="auto"/>
                <w:highlight w:val="none"/>
              </w:rPr>
              <w:t>1</w:t>
            </w:r>
          </w:p>
        </w:tc>
        <w:tc>
          <w:tcPr>
            <w:tcW w:w="918" w:type="dxa"/>
            <w:vAlign w:val="top"/>
          </w:tcPr>
          <w:p w14:paraId="0BE2E9BF">
            <w:pPr>
              <w:spacing w:line="480" w:lineRule="auto"/>
              <w:jc w:val="center"/>
              <w:rPr>
                <w:color w:val="auto"/>
                <w:highlight w:val="none"/>
                <w:vertAlign w:val="baseline"/>
              </w:rPr>
            </w:pPr>
            <w:r>
              <w:rPr>
                <w:rFonts w:hint="eastAsia"/>
                <w:color w:val="auto"/>
                <w:highlight w:val="none"/>
              </w:rPr>
              <w:t>套</w:t>
            </w:r>
          </w:p>
        </w:tc>
      </w:tr>
      <w:tr w14:paraId="2281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2466C514">
            <w:pPr>
              <w:spacing w:line="480" w:lineRule="auto"/>
              <w:jc w:val="center"/>
              <w:rPr>
                <w:color w:val="auto"/>
                <w:highlight w:val="none"/>
              </w:rPr>
            </w:pPr>
            <w:r>
              <w:rPr>
                <w:rFonts w:hint="eastAsia"/>
                <w:color w:val="auto"/>
                <w:highlight w:val="none"/>
              </w:rPr>
              <w:t>2</w:t>
            </w:r>
          </w:p>
        </w:tc>
        <w:tc>
          <w:tcPr>
            <w:tcW w:w="887" w:type="dxa"/>
          </w:tcPr>
          <w:p w14:paraId="15A34C70">
            <w:pPr>
              <w:spacing w:line="480" w:lineRule="auto"/>
              <w:jc w:val="center"/>
              <w:rPr>
                <w:color w:val="auto"/>
                <w:highlight w:val="none"/>
              </w:rPr>
            </w:pPr>
            <w:r>
              <w:rPr>
                <w:rFonts w:hint="eastAsia"/>
                <w:color w:val="auto"/>
                <w:highlight w:val="none"/>
              </w:rPr>
              <w:t>财务总账系统升迁（政府会计制度）</w:t>
            </w:r>
          </w:p>
        </w:tc>
        <w:tc>
          <w:tcPr>
            <w:tcW w:w="10763" w:type="dxa"/>
          </w:tcPr>
          <w:p w14:paraId="634D8E95">
            <w:pPr>
              <w:pStyle w:val="8"/>
              <w:spacing w:line="276" w:lineRule="auto"/>
              <w:ind w:firstLine="0" w:firstLineChars="0"/>
              <w:rPr>
                <w:rFonts w:hint="eastAsia" w:ascii="新宋体" w:hAnsi="新宋体" w:eastAsia="新宋体"/>
                <w:b/>
                <w:color w:val="auto"/>
                <w:szCs w:val="21"/>
                <w:highlight w:val="none"/>
              </w:rPr>
            </w:pPr>
            <w:r>
              <w:rPr>
                <w:rFonts w:hint="eastAsia" w:ascii="新宋体" w:hAnsi="新宋体" w:eastAsia="新宋体"/>
                <w:b/>
                <w:color w:val="auto"/>
                <w:szCs w:val="21"/>
                <w:highlight w:val="none"/>
              </w:rPr>
              <w:t>总账系统（政府会计制度）</w:t>
            </w:r>
          </w:p>
          <w:p w14:paraId="3163D8F3">
            <w:pPr>
              <w:spacing w:line="276" w:lineRule="auto"/>
              <w:ind w:firstLine="420" w:firstLineChars="200"/>
              <w:rPr>
                <w:color w:val="auto"/>
                <w:highlight w:val="none"/>
              </w:rPr>
            </w:pPr>
            <w:r>
              <w:rPr>
                <w:rFonts w:hint="eastAsia"/>
                <w:color w:val="auto"/>
                <w:highlight w:val="none"/>
              </w:rPr>
              <w:t>总账作为财务会计系统的核心，除了满足单位日常基本财务核算工作中常用的凭证管理、往来核销管理、汇兑损益处理、自定义转账、期末处理、常用账簿查询等业务要求外，同时提供有现金流量分析及查询、账簿间财务折算、各财务组织间的内部交易对账与内部交易协同等特殊业务功能。</w:t>
            </w:r>
          </w:p>
          <w:p w14:paraId="5E86AE8E">
            <w:pPr>
              <w:spacing w:line="276" w:lineRule="auto"/>
              <w:ind w:firstLine="420" w:firstLineChars="200"/>
              <w:rPr>
                <w:color w:val="auto"/>
                <w:highlight w:val="none"/>
              </w:rPr>
            </w:pPr>
            <w:r>
              <w:rPr>
                <w:rFonts w:hint="eastAsia"/>
                <w:color w:val="auto"/>
                <w:highlight w:val="none"/>
              </w:rPr>
              <w:t>总账系统在组织管理和基础数据基本搭建完毕的基础上，可直接填制凭证，也可由财务核算的其他系统（存货核算、资产核算、费用预算、应收/付管理、报销管理等）经会计平台向总账传递凭证；无论是会计平台传递，还是总账直接形成的凭证均可提供给单位报表及合并报表调用；同时总账凭证也可受费用预算或全面预算的管控。</w:t>
            </w:r>
          </w:p>
          <w:p w14:paraId="6FE353FA">
            <w:pPr>
              <w:pStyle w:val="8"/>
              <w:spacing w:line="276" w:lineRule="auto"/>
              <w:ind w:firstLine="0" w:firstLineChars="0"/>
              <w:rPr>
                <w:rFonts w:hint="eastAsia" w:ascii="新宋体" w:hAnsi="新宋体" w:eastAsia="新宋体"/>
                <w:color w:val="auto"/>
                <w:szCs w:val="21"/>
                <w:highlight w:val="none"/>
              </w:rPr>
            </w:pPr>
            <w:r>
              <w:rPr>
                <w:rFonts w:hint="eastAsia" w:ascii="新宋体" w:hAnsi="新宋体" w:eastAsia="新宋体"/>
                <w:color w:val="auto"/>
                <w:szCs w:val="21"/>
                <w:highlight w:val="none"/>
              </w:rPr>
              <w:t>1、总账系统功能结构规划</w:t>
            </w:r>
          </w:p>
          <w:p w14:paraId="7F198837">
            <w:pPr>
              <w:spacing w:line="276" w:lineRule="auto"/>
              <w:ind w:firstLine="420" w:firstLineChars="200"/>
              <w:rPr>
                <w:color w:val="auto"/>
                <w:highlight w:val="none"/>
              </w:rPr>
            </w:pPr>
            <w:r>
              <w:rPr>
                <w:rFonts w:hint="eastAsia"/>
                <w:color w:val="auto"/>
                <w:highlight w:val="none"/>
              </w:rPr>
              <w:t>总账系统主要包括日常管理报表、日常凭证处理、查询与打印、财务报表查询、自动生成转账凭证、生成现金流量表、日志管理、影像系统接口等8个部分内容。</w:t>
            </w:r>
          </w:p>
          <w:p w14:paraId="118BA37D">
            <w:pPr>
              <w:spacing w:line="276" w:lineRule="auto"/>
              <w:ind w:firstLine="420" w:firstLineChars="200"/>
              <w:rPr>
                <w:color w:val="auto"/>
                <w:highlight w:val="none"/>
              </w:rPr>
            </w:pPr>
            <w:r>
              <w:rPr>
                <w:rFonts w:hint="eastAsia"/>
                <w:color w:val="auto"/>
                <w:highlight w:val="none"/>
              </w:rPr>
              <w:t>执行满足财政部《政府会计制度——行政事业单位会计科目和报表》（财会[2017]25号）、《医院财务制度》（财社[2010]306号）文件的制度规范要求，执行2019年1月1号执行的政府会计制度。</w:t>
            </w:r>
          </w:p>
          <w:p w14:paraId="350BAF7A">
            <w:pPr>
              <w:spacing w:line="276" w:lineRule="auto"/>
              <w:ind w:firstLine="420" w:firstLineChars="200"/>
              <w:rPr>
                <w:color w:val="auto"/>
                <w:highlight w:val="none"/>
              </w:rPr>
            </w:pPr>
            <w:r>
              <w:rPr>
                <w:rFonts w:asciiTheme="minorEastAsia" w:hAnsiTheme="minorEastAsia"/>
                <w:color w:val="auto"/>
                <w:highlight w:val="none"/>
              </w:rPr>
              <w:t>▲</w:t>
            </w:r>
            <w:r>
              <w:rPr>
                <w:rFonts w:hint="eastAsia"/>
                <w:color w:val="auto"/>
                <w:highlight w:val="none"/>
              </w:rPr>
              <w:t>建立安全、高效的数据平滑升迁机制，确保原旧系统中的财务数据（包括历史凭证、账簿、报表、往来账款、银行账户信息等）完整、准确迁移至新系统。迁移过程中需避免数据丢失、篡改或逻辑错误，迁移后数据可追溯、可验证，保障财务工作的连续性。</w:t>
            </w:r>
          </w:p>
          <w:p w14:paraId="1C57B696">
            <w:pPr>
              <w:pStyle w:val="8"/>
              <w:spacing w:line="276" w:lineRule="auto"/>
              <w:ind w:firstLine="0" w:firstLineChars="0"/>
              <w:rPr>
                <w:rFonts w:hint="eastAsia" w:ascii="新宋体" w:hAnsi="新宋体" w:eastAsia="新宋体"/>
                <w:color w:val="auto"/>
                <w:szCs w:val="21"/>
                <w:highlight w:val="none"/>
              </w:rPr>
            </w:pPr>
            <w:r>
              <w:rPr>
                <w:rFonts w:hint="eastAsia" w:ascii="新宋体" w:hAnsi="新宋体" w:eastAsia="新宋体"/>
                <w:color w:val="auto"/>
                <w:szCs w:val="21"/>
                <w:highlight w:val="none"/>
              </w:rPr>
              <w:t>2、日常管理报表</w:t>
            </w:r>
          </w:p>
          <w:p w14:paraId="6C04551B">
            <w:pPr>
              <w:spacing w:line="276" w:lineRule="auto"/>
              <w:ind w:firstLine="560"/>
              <w:rPr>
                <w:color w:val="auto"/>
                <w:highlight w:val="none"/>
              </w:rPr>
            </w:pPr>
            <w:r>
              <w:rPr>
                <w:rFonts w:hint="eastAsia"/>
                <w:color w:val="auto"/>
                <w:highlight w:val="none"/>
              </w:rPr>
              <w:t>实现日常凭证处理、审核、记账、结账等基本核算流程，自动编制符合财税规定的总账、明细账、余额表、汇总表、账册及其他相关表格，根据管理需要自动产生各种管理报表。</w:t>
            </w:r>
          </w:p>
          <w:p w14:paraId="7D41EAFC">
            <w:pPr>
              <w:pStyle w:val="8"/>
              <w:spacing w:line="276" w:lineRule="auto"/>
              <w:ind w:firstLine="0" w:firstLineChars="0"/>
              <w:rPr>
                <w:rFonts w:hint="eastAsia" w:ascii="新宋体" w:hAnsi="新宋体" w:eastAsia="新宋体"/>
                <w:color w:val="auto"/>
                <w:szCs w:val="21"/>
                <w:highlight w:val="none"/>
              </w:rPr>
            </w:pPr>
            <w:r>
              <w:rPr>
                <w:rFonts w:hint="eastAsia" w:ascii="新宋体" w:hAnsi="新宋体" w:eastAsia="新宋体"/>
                <w:color w:val="auto"/>
                <w:szCs w:val="21"/>
                <w:highlight w:val="none"/>
              </w:rPr>
              <w:t>3、日常凭证处理</w:t>
            </w:r>
          </w:p>
          <w:p w14:paraId="64E0C140">
            <w:pPr>
              <w:spacing w:line="276" w:lineRule="auto"/>
              <w:ind w:firstLine="560"/>
              <w:rPr>
                <w:color w:val="auto"/>
                <w:highlight w:val="none"/>
              </w:rPr>
            </w:pPr>
            <w:r>
              <w:rPr>
                <w:rFonts w:hint="eastAsia"/>
                <w:color w:val="auto"/>
                <w:highlight w:val="none"/>
              </w:rPr>
              <w:t>实现制单——审核——记账；制单——记账；制单——出纳签字——审核——记账；制单——审核——出纳签字——记账等多种处理流程。支持挂接原始单据附件。</w:t>
            </w:r>
          </w:p>
          <w:p w14:paraId="1D62B042">
            <w:pPr>
              <w:pStyle w:val="8"/>
              <w:spacing w:line="276" w:lineRule="auto"/>
              <w:ind w:firstLine="0" w:firstLineChars="0"/>
              <w:rPr>
                <w:rFonts w:hint="eastAsia" w:ascii="新宋体" w:hAnsi="新宋体" w:eastAsia="新宋体"/>
                <w:color w:val="auto"/>
                <w:szCs w:val="21"/>
                <w:highlight w:val="none"/>
              </w:rPr>
            </w:pPr>
            <w:r>
              <w:rPr>
                <w:rFonts w:hint="eastAsia" w:ascii="新宋体" w:hAnsi="新宋体" w:eastAsia="新宋体"/>
                <w:color w:val="auto"/>
                <w:szCs w:val="21"/>
                <w:highlight w:val="none"/>
              </w:rPr>
              <w:t>4、查询与打印</w:t>
            </w:r>
          </w:p>
          <w:p w14:paraId="6E109F0D">
            <w:pPr>
              <w:spacing w:line="276" w:lineRule="auto"/>
              <w:ind w:firstLine="560"/>
              <w:rPr>
                <w:color w:val="auto"/>
                <w:highlight w:val="none"/>
              </w:rPr>
            </w:pPr>
            <w:r>
              <w:rPr>
                <w:rFonts w:hint="eastAsia"/>
                <w:color w:val="auto"/>
                <w:highlight w:val="none"/>
              </w:rPr>
              <w:t>提供科目辅助核算及多种账表查询功能，支持多维度的专项核算与分析，满足单位对内报告和细化核算的要求。提供将基本档案、自定义档案设置为科目辅助核算项的功能；提供科目交叉校验规则及辅助核算控制规则，从而使账务核算更为严密、方便，降低差错率。</w:t>
            </w:r>
          </w:p>
          <w:p w14:paraId="0EB2B614">
            <w:pPr>
              <w:pStyle w:val="8"/>
              <w:spacing w:line="276" w:lineRule="auto"/>
              <w:ind w:firstLine="0" w:firstLineChars="0"/>
              <w:rPr>
                <w:rFonts w:hint="eastAsia" w:ascii="新宋体" w:hAnsi="新宋体" w:eastAsia="新宋体"/>
                <w:color w:val="auto"/>
                <w:szCs w:val="21"/>
                <w:highlight w:val="none"/>
              </w:rPr>
            </w:pPr>
            <w:r>
              <w:rPr>
                <w:rFonts w:hint="eastAsia" w:ascii="新宋体" w:hAnsi="新宋体" w:eastAsia="新宋体"/>
                <w:color w:val="auto"/>
                <w:szCs w:val="21"/>
                <w:highlight w:val="none"/>
              </w:rPr>
              <w:t>5、财务报表查询</w:t>
            </w:r>
          </w:p>
          <w:p w14:paraId="78FFD695">
            <w:pPr>
              <w:spacing w:line="276" w:lineRule="auto"/>
              <w:ind w:firstLine="560"/>
              <w:rPr>
                <w:color w:val="auto"/>
                <w:highlight w:val="none"/>
              </w:rPr>
            </w:pPr>
            <w:r>
              <w:rPr>
                <w:rFonts w:hint="eastAsia"/>
                <w:color w:val="auto"/>
                <w:highlight w:val="none"/>
              </w:rPr>
              <w:t>实现用户在总账中实时查询总账预制财务的科目余额表、序时账、科目总账、三栏式明细账、多栏账、辅助余额表、辅助明细账</w:t>
            </w:r>
            <w:r>
              <w:rPr>
                <w:rFonts w:hint="eastAsia"/>
                <w:color w:val="auto"/>
                <w:highlight w:val="none"/>
                <w:lang w:eastAsia="zh-CN"/>
              </w:rPr>
              <w:t>、</w:t>
            </w:r>
            <w:r>
              <w:rPr>
                <w:rFonts w:hint="eastAsia"/>
                <w:color w:val="auto"/>
                <w:highlight w:val="none"/>
              </w:rPr>
              <w:t>资产负债表、利润表、现金流量表、医疗活动收入费用明细表、净资产变动表、预算收入支出表、预算结转结余变动表、财政拨款预算收入支出表、预算结余与净资产变动差异调节表等常用财务报表</w:t>
            </w:r>
            <w:r>
              <w:rPr>
                <w:rFonts w:hint="eastAsia"/>
                <w:color w:val="auto"/>
                <w:highlight w:val="none"/>
                <w:lang w:eastAsia="zh-CN"/>
              </w:rPr>
              <w:t>，</w:t>
            </w:r>
            <w:r>
              <w:rPr>
                <w:rFonts w:hint="eastAsia"/>
                <w:color w:val="auto"/>
                <w:highlight w:val="none"/>
              </w:rPr>
              <w:t>并保证取数的完整性及准确性。</w:t>
            </w:r>
          </w:p>
          <w:p w14:paraId="09D8109D">
            <w:pPr>
              <w:pStyle w:val="8"/>
              <w:spacing w:line="276" w:lineRule="auto"/>
              <w:ind w:firstLine="0" w:firstLineChars="0"/>
              <w:rPr>
                <w:rFonts w:hint="eastAsia" w:ascii="新宋体" w:hAnsi="新宋体" w:eastAsia="新宋体"/>
                <w:color w:val="auto"/>
                <w:szCs w:val="21"/>
                <w:highlight w:val="none"/>
              </w:rPr>
            </w:pPr>
            <w:r>
              <w:rPr>
                <w:rFonts w:hint="eastAsia" w:ascii="新宋体" w:hAnsi="新宋体" w:eastAsia="新宋体"/>
                <w:color w:val="auto"/>
                <w:szCs w:val="21"/>
                <w:highlight w:val="none"/>
              </w:rPr>
              <w:t>6、自动生成转账凭证</w:t>
            </w:r>
          </w:p>
          <w:p w14:paraId="4101FB87">
            <w:pPr>
              <w:spacing w:line="276" w:lineRule="auto"/>
              <w:ind w:firstLine="560"/>
              <w:rPr>
                <w:color w:val="auto"/>
                <w:highlight w:val="none"/>
              </w:rPr>
            </w:pPr>
            <w:r>
              <w:rPr>
                <w:rFonts w:hint="eastAsia"/>
                <w:color w:val="auto"/>
                <w:highlight w:val="none"/>
              </w:rPr>
              <w:t>总账系统是医院会计核算管理的基础和核心，通过动态会计平台，总账与其他系统实时无缝集成，完全实现了动态的财务业务一体化，保障了财务数据与业务数据的同步性。总账系统包括以下几个应用层次：</w:t>
            </w:r>
          </w:p>
          <w:p w14:paraId="041B2F21">
            <w:pPr>
              <w:spacing w:line="276" w:lineRule="auto"/>
              <w:ind w:firstLine="560"/>
              <w:rPr>
                <w:color w:val="auto"/>
                <w:highlight w:val="none"/>
              </w:rPr>
            </w:pPr>
            <w:r>
              <w:rPr>
                <w:rFonts w:hint="eastAsia"/>
                <w:color w:val="auto"/>
                <w:highlight w:val="none"/>
              </w:rPr>
              <w:t>1)各种类型转账凭证自动生成：通过灵活的公式配置，按科目+辅助核算进行结转、分摊、归集；自动结转汇兑损益；</w:t>
            </w:r>
          </w:p>
          <w:p w14:paraId="21EBCA99">
            <w:pPr>
              <w:spacing w:line="276" w:lineRule="auto"/>
              <w:ind w:firstLine="560"/>
              <w:rPr>
                <w:color w:val="auto"/>
                <w:highlight w:val="none"/>
              </w:rPr>
            </w:pPr>
            <w:r>
              <w:rPr>
                <w:rFonts w:hint="eastAsia"/>
                <w:color w:val="auto"/>
                <w:highlight w:val="none"/>
              </w:rPr>
              <w:t>2)对账：月末可以进行总账与固定资产、资金结算、应收、应付、存货对账；</w:t>
            </w:r>
          </w:p>
          <w:p w14:paraId="6DC81F9A">
            <w:pPr>
              <w:spacing w:line="276" w:lineRule="auto"/>
              <w:ind w:firstLine="560"/>
              <w:rPr>
                <w:color w:val="auto"/>
                <w:highlight w:val="none"/>
              </w:rPr>
            </w:pPr>
            <w:r>
              <w:rPr>
                <w:rFonts w:hint="eastAsia"/>
                <w:color w:val="auto"/>
                <w:highlight w:val="none"/>
              </w:rPr>
              <w:t>3)关账：为了保证本月日常业务已完成，可以进行各种月末处理工作，需对当月日常业务进行关账。以保证月末处理的正确性。总账部分科目可进行提前关账，提前关账后，成本系统才能依据提前关账的科目进行月末处理；</w:t>
            </w:r>
          </w:p>
          <w:p w14:paraId="317156D9">
            <w:pPr>
              <w:spacing w:line="276" w:lineRule="auto"/>
              <w:ind w:firstLine="560"/>
              <w:rPr>
                <w:color w:val="auto"/>
                <w:highlight w:val="none"/>
              </w:rPr>
            </w:pPr>
            <w:r>
              <w:rPr>
                <w:rFonts w:hint="eastAsia"/>
                <w:color w:val="auto"/>
                <w:highlight w:val="none"/>
              </w:rPr>
              <w:t>4）结账：当月所有业务全部完成，可进行结账；</w:t>
            </w:r>
          </w:p>
          <w:p w14:paraId="641D9F11">
            <w:pPr>
              <w:pStyle w:val="8"/>
              <w:spacing w:line="276" w:lineRule="auto"/>
              <w:ind w:firstLine="0" w:firstLineChars="0"/>
              <w:rPr>
                <w:rFonts w:hint="eastAsia" w:ascii="新宋体" w:hAnsi="新宋体" w:eastAsia="新宋体"/>
                <w:color w:val="auto"/>
                <w:szCs w:val="21"/>
                <w:highlight w:val="none"/>
              </w:rPr>
            </w:pPr>
            <w:r>
              <w:rPr>
                <w:rFonts w:hint="eastAsia" w:ascii="新宋体" w:hAnsi="新宋体" w:eastAsia="新宋体"/>
                <w:color w:val="auto"/>
                <w:szCs w:val="21"/>
                <w:highlight w:val="none"/>
              </w:rPr>
              <w:t>7、生成现金流量表</w:t>
            </w:r>
          </w:p>
          <w:p w14:paraId="5F6C4004">
            <w:pPr>
              <w:spacing w:line="276" w:lineRule="auto"/>
              <w:ind w:firstLine="560"/>
              <w:rPr>
                <w:color w:val="auto"/>
                <w:highlight w:val="none"/>
              </w:rPr>
            </w:pPr>
            <w:r>
              <w:rPr>
                <w:rFonts w:hint="eastAsia"/>
                <w:color w:val="auto"/>
                <w:highlight w:val="none"/>
              </w:rPr>
              <w:t>系统可实时生成现金流量表，现金流量表数据可追溯至凭证，可以按照科目、凭证分录展示现金流来源，可处理多借多贷的现金分析调整以及手工调整现金流量表。</w:t>
            </w:r>
          </w:p>
          <w:p w14:paraId="56E0C86C">
            <w:pPr>
              <w:pStyle w:val="8"/>
              <w:spacing w:line="276" w:lineRule="auto"/>
              <w:ind w:firstLine="0" w:firstLineChars="0"/>
              <w:rPr>
                <w:rFonts w:hint="eastAsia" w:ascii="新宋体" w:hAnsi="新宋体" w:eastAsia="新宋体"/>
                <w:color w:val="auto"/>
                <w:szCs w:val="21"/>
                <w:highlight w:val="none"/>
              </w:rPr>
            </w:pPr>
            <w:r>
              <w:rPr>
                <w:rFonts w:hint="eastAsia" w:ascii="新宋体" w:hAnsi="新宋体" w:eastAsia="新宋体"/>
                <w:color w:val="auto"/>
                <w:szCs w:val="21"/>
                <w:highlight w:val="none"/>
              </w:rPr>
              <w:t>8、日志管理</w:t>
            </w:r>
          </w:p>
          <w:p w14:paraId="0875B174">
            <w:pPr>
              <w:spacing w:line="276" w:lineRule="auto"/>
              <w:ind w:firstLine="560"/>
              <w:rPr>
                <w:color w:val="auto"/>
                <w:highlight w:val="none"/>
              </w:rPr>
            </w:pPr>
            <w:r>
              <w:rPr>
                <w:color w:val="auto"/>
                <w:highlight w:val="none"/>
              </w:rPr>
              <w:t>●</w:t>
            </w:r>
            <w:r>
              <w:rPr>
                <w:rFonts w:hint="eastAsia"/>
                <w:color w:val="auto"/>
                <w:highlight w:val="none"/>
              </w:rPr>
              <w:t>提供了上机日志功能，用于记录什么时间，哪个用户，进行了何种操作，以及操作的结果，以便于留下操作查找线索。上机日志记录可进行查看、</w:t>
            </w:r>
            <w:r>
              <w:rPr>
                <w:rFonts w:hint="eastAsia"/>
                <w:color w:val="auto"/>
                <w:highlight w:val="none"/>
                <w:lang w:val="en-US" w:eastAsia="zh-CN"/>
              </w:rPr>
              <w:t>导出</w:t>
            </w:r>
            <w:r>
              <w:rPr>
                <w:rFonts w:hint="eastAsia"/>
                <w:color w:val="auto"/>
                <w:highlight w:val="none"/>
              </w:rPr>
              <w:t>、打印等项处理。</w:t>
            </w:r>
          </w:p>
          <w:p w14:paraId="262556EE">
            <w:pPr>
              <w:spacing w:line="276" w:lineRule="auto"/>
              <w:rPr>
                <w:color w:val="auto"/>
                <w:highlight w:val="none"/>
              </w:rPr>
            </w:pPr>
            <w:r>
              <w:rPr>
                <w:rFonts w:hint="eastAsia" w:ascii="新宋体" w:hAnsi="新宋体" w:eastAsia="新宋体"/>
                <w:color w:val="auto"/>
                <w:szCs w:val="21"/>
                <w:highlight w:val="none"/>
              </w:rPr>
              <w:t>9、</w:t>
            </w:r>
            <w:r>
              <w:rPr>
                <w:rFonts w:hint="eastAsia"/>
                <w:color w:val="auto"/>
                <w:highlight w:val="none"/>
              </w:rPr>
              <w:t>一套财务核算账簿的模式之下，搭建财务会计科目+预算会计科目的会计科目体系，凭证制单节点显示财务会计和预算会计两个凭证界面，对平行记账的经济业务根据财务会计凭证自动生成预算会计凭证；业务系统自动生成的财务凭证根据凭证中会计科目性质自动判断和生成预算会计凭证。根据财务会计科目形成财务会计账，出具财务会计报表，根据预算会计科目形成预算会计账和决算报告。</w:t>
            </w:r>
          </w:p>
          <w:p w14:paraId="0184AD40">
            <w:pPr>
              <w:spacing w:line="276" w:lineRule="auto"/>
              <w:rPr>
                <w:color w:val="auto"/>
                <w:highlight w:val="none"/>
              </w:rPr>
            </w:pPr>
            <w:r>
              <w:rPr>
                <w:rFonts w:hint="eastAsia"/>
                <w:color w:val="auto"/>
                <w:highlight w:val="none"/>
              </w:rPr>
              <w:t>新会计准则插件包括双核算体系、平行记账、预制会计报表等3个部分内容。</w:t>
            </w:r>
          </w:p>
          <w:p w14:paraId="59F719FC">
            <w:pPr>
              <w:pStyle w:val="8"/>
              <w:spacing w:line="276" w:lineRule="auto"/>
              <w:ind w:firstLine="0" w:firstLineChars="0"/>
              <w:rPr>
                <w:rFonts w:hint="eastAsia" w:ascii="新宋体" w:hAnsi="新宋体" w:eastAsia="新宋体"/>
                <w:color w:val="auto"/>
                <w:szCs w:val="21"/>
                <w:highlight w:val="none"/>
              </w:rPr>
            </w:pPr>
            <w:r>
              <w:rPr>
                <w:rFonts w:hint="eastAsia" w:ascii="新宋体" w:hAnsi="新宋体" w:eastAsia="新宋体"/>
                <w:color w:val="auto"/>
                <w:szCs w:val="21"/>
                <w:highlight w:val="none"/>
              </w:rPr>
              <w:t>9.</w:t>
            </w:r>
            <w:r>
              <w:rPr>
                <w:rFonts w:ascii="新宋体" w:hAnsi="新宋体" w:eastAsia="新宋体"/>
                <w:color w:val="auto"/>
                <w:szCs w:val="21"/>
                <w:highlight w:val="none"/>
              </w:rPr>
              <w:t>1</w:t>
            </w:r>
            <w:r>
              <w:rPr>
                <w:rFonts w:hint="eastAsia" w:ascii="新宋体" w:hAnsi="新宋体" w:eastAsia="新宋体"/>
                <w:color w:val="auto"/>
                <w:szCs w:val="21"/>
                <w:highlight w:val="none"/>
              </w:rPr>
              <w:t>双核算体系</w:t>
            </w:r>
          </w:p>
          <w:p w14:paraId="77ACB90D">
            <w:pPr>
              <w:spacing w:line="276" w:lineRule="auto"/>
              <w:ind w:firstLine="560"/>
              <w:rPr>
                <w:color w:val="auto"/>
                <w:highlight w:val="none"/>
              </w:rPr>
            </w:pPr>
            <w:r>
              <w:rPr>
                <w:rFonts w:hint="eastAsia"/>
                <w:color w:val="auto"/>
                <w:highlight w:val="none"/>
              </w:rPr>
              <w:t>系统提供政府会计制度要求的双核算体系，包括来源科目编码、来源科目名称、目的科目编码、目的科目名称等内容维护与管理。</w:t>
            </w:r>
          </w:p>
          <w:p w14:paraId="38443197">
            <w:pPr>
              <w:pStyle w:val="8"/>
              <w:spacing w:line="276" w:lineRule="auto"/>
              <w:ind w:firstLine="0" w:firstLineChars="0"/>
              <w:rPr>
                <w:rFonts w:hint="eastAsia" w:ascii="新宋体" w:hAnsi="新宋体" w:eastAsia="新宋体"/>
                <w:color w:val="auto"/>
                <w:szCs w:val="21"/>
                <w:highlight w:val="none"/>
              </w:rPr>
            </w:pPr>
            <w:r>
              <w:rPr>
                <w:rFonts w:hint="eastAsia" w:ascii="新宋体" w:hAnsi="新宋体" w:eastAsia="新宋体"/>
                <w:color w:val="auto"/>
                <w:szCs w:val="21"/>
                <w:highlight w:val="none"/>
              </w:rPr>
              <w:t>9.</w:t>
            </w:r>
            <w:r>
              <w:rPr>
                <w:rFonts w:ascii="新宋体" w:hAnsi="新宋体" w:eastAsia="新宋体"/>
                <w:color w:val="auto"/>
                <w:szCs w:val="21"/>
                <w:highlight w:val="none"/>
              </w:rPr>
              <w:t>2</w:t>
            </w:r>
            <w:r>
              <w:rPr>
                <w:rFonts w:hint="eastAsia" w:ascii="新宋体" w:hAnsi="新宋体" w:eastAsia="新宋体"/>
                <w:color w:val="auto"/>
                <w:szCs w:val="21"/>
                <w:highlight w:val="none"/>
              </w:rPr>
              <w:t>平行记账</w:t>
            </w:r>
          </w:p>
          <w:p w14:paraId="2B2F5017">
            <w:pPr>
              <w:spacing w:line="276" w:lineRule="auto"/>
              <w:ind w:firstLine="420" w:firstLineChars="200"/>
              <w:rPr>
                <w:color w:val="auto"/>
                <w:highlight w:val="none"/>
              </w:rPr>
            </w:pPr>
            <w:r>
              <w:rPr>
                <w:rFonts w:hint="eastAsia"/>
                <w:color w:val="auto"/>
                <w:highlight w:val="none"/>
              </w:rPr>
              <w:t>提供财务会计、预算会计平行记账功能。</w:t>
            </w:r>
          </w:p>
          <w:p w14:paraId="51203ADA">
            <w:pPr>
              <w:pStyle w:val="8"/>
              <w:spacing w:line="276" w:lineRule="auto"/>
              <w:ind w:firstLine="0" w:firstLineChars="0"/>
              <w:rPr>
                <w:rFonts w:hint="eastAsia" w:ascii="新宋体" w:hAnsi="新宋体" w:eastAsia="新宋体"/>
                <w:color w:val="auto"/>
                <w:szCs w:val="21"/>
                <w:highlight w:val="none"/>
              </w:rPr>
            </w:pPr>
            <w:r>
              <w:rPr>
                <w:rFonts w:hint="eastAsia" w:ascii="新宋体" w:hAnsi="新宋体" w:eastAsia="新宋体"/>
                <w:color w:val="auto"/>
                <w:szCs w:val="21"/>
                <w:highlight w:val="none"/>
              </w:rPr>
              <w:t>9.</w:t>
            </w:r>
            <w:r>
              <w:rPr>
                <w:rFonts w:ascii="新宋体" w:hAnsi="新宋体" w:eastAsia="新宋体"/>
                <w:color w:val="auto"/>
                <w:szCs w:val="21"/>
                <w:highlight w:val="none"/>
              </w:rPr>
              <w:t>3</w:t>
            </w:r>
            <w:r>
              <w:rPr>
                <w:rFonts w:hint="eastAsia" w:ascii="新宋体" w:hAnsi="新宋体" w:eastAsia="新宋体"/>
                <w:color w:val="auto"/>
                <w:szCs w:val="21"/>
                <w:highlight w:val="none"/>
              </w:rPr>
              <w:t>预制会计报表</w:t>
            </w:r>
          </w:p>
          <w:p w14:paraId="5C7E9562">
            <w:pPr>
              <w:pStyle w:val="8"/>
              <w:spacing w:line="276" w:lineRule="auto"/>
              <w:rPr>
                <w:color w:val="auto"/>
                <w:highlight w:val="none"/>
              </w:rPr>
            </w:pPr>
            <w:r>
              <w:rPr>
                <w:rFonts w:hint="eastAsia"/>
                <w:color w:val="auto"/>
                <w:highlight w:val="none"/>
              </w:rPr>
              <w:t>系统提供预制的会计报表，包括财务会计和预算会计。</w:t>
            </w:r>
          </w:p>
          <w:p w14:paraId="1859781A">
            <w:pPr>
              <w:pStyle w:val="8"/>
              <w:spacing w:line="276" w:lineRule="auto"/>
              <w:ind w:firstLine="0" w:firstLineChars="0"/>
              <w:rPr>
                <w:color w:val="auto"/>
                <w:highlight w:val="none"/>
              </w:rPr>
            </w:pPr>
            <w:r>
              <w:rPr>
                <w:rFonts w:hint="eastAsia"/>
                <w:color w:val="auto"/>
                <w:highlight w:val="none"/>
              </w:rPr>
              <w:t>10、往来核销、账龄分析及预警</w:t>
            </w:r>
          </w:p>
          <w:p w14:paraId="5FDE141E">
            <w:pPr>
              <w:pStyle w:val="8"/>
              <w:spacing w:line="276" w:lineRule="auto"/>
              <w:rPr>
                <w:rFonts w:hint="eastAsia"/>
                <w:color w:val="auto"/>
                <w:highlight w:val="none"/>
              </w:rPr>
            </w:pPr>
            <w:r>
              <w:rPr>
                <w:color w:val="auto"/>
                <w:highlight w:val="none"/>
              </w:rPr>
              <w:t>基于总账凭证的往来核销管理与账龄分析等统计查询</w:t>
            </w:r>
            <w:r>
              <w:rPr>
                <w:rFonts w:hint="eastAsia"/>
                <w:color w:val="auto"/>
                <w:highlight w:val="none"/>
              </w:rPr>
              <w:t>功能</w:t>
            </w:r>
            <w:r>
              <w:rPr>
                <w:color w:val="auto"/>
                <w:highlight w:val="none"/>
              </w:rPr>
              <w:t>，支持</w:t>
            </w:r>
            <w:r>
              <w:rPr>
                <w:rFonts w:hint="eastAsia"/>
                <w:color w:val="auto"/>
                <w:highlight w:val="none"/>
              </w:rPr>
              <w:t>手工核销、</w:t>
            </w:r>
            <w:r>
              <w:rPr>
                <w:color w:val="auto"/>
                <w:highlight w:val="none"/>
              </w:rPr>
              <w:t>自动核销</w:t>
            </w:r>
            <w:r>
              <w:rPr>
                <w:rFonts w:hint="eastAsia"/>
                <w:color w:val="auto"/>
                <w:highlight w:val="none"/>
              </w:rPr>
              <w:t>、红蓝对冲，支持设定灵活的账龄区间，支持超期预警提醒。</w:t>
            </w:r>
          </w:p>
          <w:p w14:paraId="7F35C8C8">
            <w:pPr>
              <w:pStyle w:val="8"/>
              <w:spacing w:line="276" w:lineRule="auto"/>
              <w:ind w:firstLine="0" w:firstLineChars="0"/>
              <w:rPr>
                <w:color w:val="auto"/>
                <w:highlight w:val="none"/>
              </w:rPr>
            </w:pPr>
            <w:r>
              <w:rPr>
                <w:rFonts w:hint="eastAsia"/>
                <w:color w:val="auto"/>
                <w:highlight w:val="none"/>
              </w:rPr>
              <w:t>11、其他</w:t>
            </w:r>
          </w:p>
          <w:p w14:paraId="4D64AE58">
            <w:pPr>
              <w:pStyle w:val="8"/>
              <w:spacing w:line="276" w:lineRule="auto"/>
              <w:rPr>
                <w:color w:val="auto"/>
                <w:highlight w:val="none"/>
              </w:rPr>
            </w:pPr>
            <w:r>
              <w:rPr>
                <w:rFonts w:hint="eastAsia"/>
                <w:color w:val="auto"/>
                <w:highlight w:val="none"/>
              </w:rPr>
              <w:t>支持本年盈余与预算结余差异自动分析，凭证支持自动载入差异项目及方向、金额。</w:t>
            </w:r>
          </w:p>
          <w:p w14:paraId="2A815264">
            <w:pPr>
              <w:pStyle w:val="8"/>
              <w:spacing w:line="276" w:lineRule="auto"/>
              <w:rPr>
                <w:color w:val="auto"/>
                <w:highlight w:val="none"/>
              </w:rPr>
            </w:pPr>
            <w:r>
              <w:rPr>
                <w:rFonts w:ascii="新宋体" w:hAnsi="新宋体" w:eastAsia="新宋体"/>
                <w:color w:val="auto"/>
                <w:szCs w:val="21"/>
                <w:highlight w:val="none"/>
              </w:rPr>
              <w:t>▲</w:t>
            </w:r>
            <w:r>
              <w:rPr>
                <w:rFonts w:hint="eastAsia" w:ascii="新宋体" w:hAnsi="新宋体" w:eastAsia="新宋体"/>
                <w:color w:val="auto"/>
                <w:szCs w:val="21"/>
                <w:highlight w:val="none"/>
              </w:rPr>
              <w:t>为了便于未来医院发展，系统必须支持医共体架构、集团架构、单体医院架构，</w:t>
            </w:r>
            <w:r>
              <w:rPr>
                <w:rFonts w:hint="eastAsia"/>
                <w:color w:val="auto"/>
                <w:highlight w:val="none"/>
              </w:rPr>
              <w:t>系统支持客商档案可以控制为集团总部医院建立后下发到指定的分院区，便于集团医院控制不同的客商档案分配给不同的分院区。</w:t>
            </w:r>
          </w:p>
          <w:p w14:paraId="3E4299CC">
            <w:pPr>
              <w:pStyle w:val="8"/>
              <w:spacing w:line="276" w:lineRule="auto"/>
              <w:rPr>
                <w:color w:val="auto"/>
                <w:highlight w:val="none"/>
              </w:rPr>
            </w:pPr>
            <w:r>
              <w:rPr>
                <w:rFonts w:hint="eastAsia"/>
                <w:color w:val="auto"/>
                <w:highlight w:val="none"/>
              </w:rPr>
              <w:t>系统支持档案可以控制为集团总部医院建立后下发到指定的分院区，便于集团医院控制不同的档案分配给不同的分院区。</w:t>
            </w:r>
          </w:p>
          <w:p w14:paraId="1C130E4A">
            <w:pPr>
              <w:pStyle w:val="8"/>
              <w:spacing w:line="276" w:lineRule="auto"/>
              <w:rPr>
                <w:color w:val="auto"/>
                <w:highlight w:val="none"/>
              </w:rPr>
            </w:pPr>
            <w:r>
              <w:rPr>
                <w:color w:val="auto"/>
                <w:highlight w:val="none"/>
              </w:rPr>
              <w:t>●</w:t>
            </w:r>
            <w:r>
              <w:rPr>
                <w:rFonts w:hint="eastAsia"/>
                <w:color w:val="auto"/>
                <w:highlight w:val="none"/>
              </w:rPr>
              <w:t>财务总账系统支持多核算账簿设置。</w:t>
            </w:r>
          </w:p>
          <w:p w14:paraId="2217E4EE">
            <w:pPr>
              <w:pStyle w:val="8"/>
              <w:spacing w:line="276" w:lineRule="auto"/>
              <w:rPr>
                <w:color w:val="auto"/>
                <w:highlight w:val="none"/>
              </w:rPr>
            </w:pPr>
            <w:r>
              <w:rPr>
                <w:color w:val="auto"/>
                <w:highlight w:val="none"/>
              </w:rPr>
              <w:t>●</w:t>
            </w:r>
            <w:r>
              <w:rPr>
                <w:rFonts w:hint="eastAsia"/>
                <w:color w:val="auto"/>
                <w:highlight w:val="none"/>
              </w:rPr>
              <w:t>支持凭证协同功能如：（A院区应收凭证在一个平台上自动生成B院区应付凭证。）</w:t>
            </w:r>
          </w:p>
          <w:p w14:paraId="09B65335">
            <w:pPr>
              <w:pStyle w:val="8"/>
              <w:spacing w:line="276" w:lineRule="auto"/>
              <w:rPr>
                <w:color w:val="auto"/>
                <w:highlight w:val="none"/>
              </w:rPr>
            </w:pPr>
            <w:r>
              <w:rPr>
                <w:color w:val="auto"/>
                <w:highlight w:val="none"/>
              </w:rPr>
              <w:t>●</w:t>
            </w:r>
            <w:r>
              <w:rPr>
                <w:rFonts w:hint="eastAsia"/>
                <w:color w:val="auto"/>
                <w:highlight w:val="none"/>
              </w:rPr>
              <w:t>提供标准的外部凭证导入模板，可将外部业务系统提供的凭证自动导入会计核算账簿中。</w:t>
            </w:r>
          </w:p>
          <w:p w14:paraId="34B812B2">
            <w:pPr>
              <w:spacing w:line="276" w:lineRule="auto"/>
              <w:jc w:val="left"/>
              <w:rPr>
                <w:color w:val="auto"/>
                <w:highlight w:val="none"/>
              </w:rPr>
            </w:pPr>
            <w:r>
              <w:rPr>
                <w:rFonts w:hint="eastAsia"/>
                <w:color w:val="auto"/>
                <w:highlight w:val="none"/>
              </w:rPr>
              <w:t>根据财务会计净资产核算逻辑关系、预算会计预算结余核算逻辑关系设置期末业务处理规则，自动进行期末转账。</w:t>
            </w:r>
          </w:p>
        </w:tc>
        <w:tc>
          <w:tcPr>
            <w:tcW w:w="862" w:type="dxa"/>
          </w:tcPr>
          <w:p w14:paraId="14B1FE60">
            <w:pPr>
              <w:spacing w:line="480" w:lineRule="auto"/>
              <w:jc w:val="center"/>
              <w:rPr>
                <w:color w:val="auto"/>
                <w:highlight w:val="none"/>
              </w:rPr>
            </w:pPr>
            <w:r>
              <w:rPr>
                <w:rFonts w:hint="eastAsia"/>
                <w:color w:val="auto"/>
                <w:highlight w:val="none"/>
              </w:rPr>
              <w:t>1</w:t>
            </w:r>
          </w:p>
        </w:tc>
        <w:tc>
          <w:tcPr>
            <w:tcW w:w="918" w:type="dxa"/>
          </w:tcPr>
          <w:p w14:paraId="0B7855D6">
            <w:pPr>
              <w:spacing w:line="480" w:lineRule="auto"/>
              <w:jc w:val="center"/>
              <w:rPr>
                <w:color w:val="auto"/>
                <w:highlight w:val="none"/>
              </w:rPr>
            </w:pPr>
            <w:r>
              <w:rPr>
                <w:rFonts w:hint="eastAsia"/>
                <w:color w:val="auto"/>
                <w:highlight w:val="none"/>
              </w:rPr>
              <w:t>套</w:t>
            </w:r>
          </w:p>
        </w:tc>
      </w:tr>
      <w:tr w14:paraId="3EFF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top"/>
          </w:tcPr>
          <w:p w14:paraId="24B093E1">
            <w:pPr>
              <w:spacing w:line="480" w:lineRule="auto"/>
              <w:jc w:val="center"/>
              <w:rPr>
                <w:color w:val="auto"/>
                <w:highlight w:val="none"/>
                <w:vertAlign w:val="baseline"/>
              </w:rPr>
            </w:pPr>
            <w:r>
              <w:rPr>
                <w:rFonts w:hint="eastAsia"/>
              </w:rPr>
              <w:t>3</w:t>
            </w:r>
          </w:p>
        </w:tc>
        <w:tc>
          <w:tcPr>
            <w:tcW w:w="887" w:type="dxa"/>
            <w:vAlign w:val="top"/>
          </w:tcPr>
          <w:p w14:paraId="75D5CC9C">
            <w:pPr>
              <w:spacing w:line="480" w:lineRule="auto"/>
              <w:jc w:val="center"/>
              <w:rPr>
                <w:color w:val="auto"/>
                <w:highlight w:val="none"/>
                <w:vertAlign w:val="baseline"/>
              </w:rPr>
            </w:pPr>
            <w:r>
              <w:rPr>
                <w:rFonts w:hint="eastAsia"/>
              </w:rPr>
              <w:t>医院报表</w:t>
            </w:r>
          </w:p>
        </w:tc>
        <w:tc>
          <w:tcPr>
            <w:tcW w:w="10763" w:type="dxa"/>
            <w:vAlign w:val="top"/>
          </w:tcPr>
          <w:p w14:paraId="28FD3E51">
            <w:pPr>
              <w:spacing w:line="276" w:lineRule="auto"/>
              <w:ind w:firstLine="420" w:firstLineChars="200"/>
            </w:pPr>
            <w:r>
              <w:rPr>
                <w:rFonts w:hint="eastAsia"/>
              </w:rPr>
              <w:t xml:space="preserve">医院报表主要用于各级组织进行报表的制定、下发、收集、审核、上报等相关业务工作，可为各院区提供各类管理报表的服务，提供报表编制、数据采集和报表过程管理的全方位管理服务。 </w:t>
            </w:r>
          </w:p>
          <w:p w14:paraId="1EA4D670">
            <w:pPr>
              <w:spacing w:line="276" w:lineRule="auto"/>
              <w:ind w:firstLine="420" w:firstLineChars="200"/>
            </w:pPr>
            <w:r>
              <w:rPr>
                <w:rFonts w:ascii="Times New Roman" w:hAnsi="Times New Roman" w:cs="Times New Roman"/>
              </w:rPr>
              <w:t>▲</w:t>
            </w:r>
            <w:r>
              <w:rPr>
                <w:rFonts w:hint="eastAsia"/>
              </w:rPr>
              <w:t>支持按需定制报表和任务，提供各类从业务系统取数的途径（单元公式、语义模型等），支持报表数据手工录入和公式自动计算，提供为满足上报要求的各种报表进行审核、汇总的服务，提供报表数据的报送管理服务，提供计划任务对报表数据进行自动批量计算，并支持通过报表数据订阅推送到邮件、移动设备、门户等满足报表的最终使用。</w:t>
            </w:r>
          </w:p>
          <w:p w14:paraId="60297D97">
            <w:pPr>
              <w:pStyle w:val="8"/>
              <w:spacing w:line="276" w:lineRule="auto"/>
              <w:ind w:firstLine="0" w:firstLineChars="0"/>
              <w:rPr>
                <w:rFonts w:hint="eastAsia" w:ascii="新宋体" w:hAnsi="新宋体" w:eastAsia="新宋体"/>
                <w:szCs w:val="21"/>
              </w:rPr>
            </w:pPr>
            <w:r>
              <w:rPr>
                <w:rFonts w:hint="eastAsia" w:ascii="新宋体" w:hAnsi="新宋体" w:eastAsia="新宋体"/>
                <w:szCs w:val="21"/>
              </w:rPr>
              <w:t>1、财务报表系统功能结构规划</w:t>
            </w:r>
          </w:p>
          <w:p w14:paraId="580E109A">
            <w:pPr>
              <w:spacing w:line="276" w:lineRule="auto"/>
              <w:ind w:firstLine="560"/>
            </w:pPr>
            <w:r>
              <w:rPr>
                <w:rFonts w:hint="eastAsia"/>
              </w:rPr>
              <w:t>财务报表系统主要包括报表导入导出、报表格式设置、账表一体化集成、追溯查询、报表任务下发、报送管理查询、一致性检查、报表打印、报表展示、报表数据订阅、报表直报、报表汇总、公式管理等14个部分内容。</w:t>
            </w:r>
          </w:p>
          <w:p w14:paraId="144A4ACF">
            <w:pPr>
              <w:pStyle w:val="8"/>
              <w:spacing w:line="276" w:lineRule="auto"/>
              <w:ind w:firstLine="0" w:firstLineChars="0"/>
              <w:rPr>
                <w:rFonts w:hint="eastAsia" w:ascii="新宋体" w:hAnsi="新宋体" w:eastAsia="新宋体"/>
                <w:szCs w:val="21"/>
              </w:rPr>
            </w:pPr>
            <w:r>
              <w:rPr>
                <w:rFonts w:hint="eastAsia" w:ascii="新宋体" w:hAnsi="新宋体" w:eastAsia="新宋体"/>
                <w:szCs w:val="21"/>
              </w:rPr>
              <w:t>2、报表导入导出</w:t>
            </w:r>
          </w:p>
          <w:p w14:paraId="5E9A4685">
            <w:pPr>
              <w:spacing w:line="276" w:lineRule="auto"/>
              <w:ind w:firstLine="560"/>
            </w:pPr>
            <w:r>
              <w:rPr>
                <w:rFonts w:hint="eastAsia"/>
              </w:rPr>
              <w:t>支持对完整报表格式支持的复制、导入、导出：报表表样的样式、指标、单元格中的所有公式（计算公式、审核公司、汇总公司、折算公式与合并公式）、指标与报表项目的映射关系、报表的折算方法。报表表样的格式导入导出支持Excel 格式（.xls 和 .xlsx 后缀）。</w:t>
            </w:r>
          </w:p>
          <w:p w14:paraId="04E03DC2">
            <w:pPr>
              <w:spacing w:line="276" w:lineRule="auto"/>
              <w:ind w:firstLine="560"/>
            </w:pPr>
            <w:r>
              <w:rPr>
                <w:rFonts w:hint="eastAsia"/>
              </w:rPr>
              <w:t>1)支持导入导出套表、单表（多单位、多期间），支持套表、单表、多表的打印。套表操作时可选择报表。</w:t>
            </w:r>
          </w:p>
          <w:p w14:paraId="538ABCE0">
            <w:pPr>
              <w:spacing w:line="276" w:lineRule="auto"/>
              <w:ind w:firstLine="560"/>
            </w:pPr>
            <w:r>
              <w:rPr>
                <w:rFonts w:hint="eastAsia"/>
              </w:rPr>
              <w:t>2)导入导出支持 Excel 格式的高低版本，如.xls 和 .xlsx 后缀。</w:t>
            </w:r>
          </w:p>
          <w:p w14:paraId="57C72E89">
            <w:pPr>
              <w:spacing w:line="276" w:lineRule="auto"/>
              <w:ind w:firstLine="560"/>
            </w:pPr>
            <w:r>
              <w:rPr>
                <w:rFonts w:hint="eastAsia"/>
              </w:rPr>
              <w:t>3)导入报表数据支持按关键字、表样编码（或名称）自动完全匹配。报表数据查询功能点中，导入单表支持按关键字自动完全匹配。导入套表支持按报表表样编码（或名称）自动完全匹配。</w:t>
            </w:r>
          </w:p>
          <w:p w14:paraId="568A91AF">
            <w:pPr>
              <w:pStyle w:val="8"/>
              <w:spacing w:line="276" w:lineRule="auto"/>
              <w:ind w:firstLine="0" w:firstLineChars="0"/>
              <w:rPr>
                <w:rFonts w:hint="eastAsia" w:ascii="新宋体" w:hAnsi="新宋体" w:eastAsia="新宋体"/>
                <w:szCs w:val="21"/>
              </w:rPr>
            </w:pPr>
            <w:r>
              <w:rPr>
                <w:rFonts w:hint="eastAsia" w:ascii="新宋体" w:hAnsi="新宋体" w:eastAsia="新宋体"/>
                <w:szCs w:val="21"/>
              </w:rPr>
              <w:t>3、报表格式设置</w:t>
            </w:r>
          </w:p>
          <w:p w14:paraId="2A0CCEC0">
            <w:pPr>
              <w:spacing w:line="276" w:lineRule="auto"/>
              <w:ind w:firstLine="560"/>
            </w:pPr>
            <w:r>
              <w:rPr>
                <w:rFonts w:hint="eastAsia"/>
              </w:rPr>
              <w:t>报表格式可以随需设置，满足客户个性化应用需求：提供仿 Excel 风格的分场景表样格式设计器，支持报表表样格式设计多场景（指标、公式、展示、报表项目）：</w:t>
            </w:r>
          </w:p>
          <w:p w14:paraId="20D26C3D">
            <w:pPr>
              <w:spacing w:line="276" w:lineRule="auto"/>
              <w:ind w:firstLine="630" w:firstLineChars="300"/>
            </w:pPr>
            <w:r>
              <w:rPr>
                <w:rFonts w:hint="eastAsia"/>
              </w:rPr>
              <w:t>1)报表指标可在单元格直观编辑指标定义的各种属性，指标批量引用功能。</w:t>
            </w:r>
          </w:p>
          <w:p w14:paraId="25E7DE30">
            <w:pPr>
              <w:spacing w:line="276" w:lineRule="auto"/>
              <w:ind w:firstLine="560"/>
            </w:pPr>
            <w:r>
              <w:rPr>
                <w:rFonts w:hint="eastAsia"/>
              </w:rPr>
              <w:t>2)报表公式设计优化公式编辑交互操作，公式定义和追踪支持悬浮窗交互，支持模糊匹配、格式提示、编辑选择、拖拉填充等。</w:t>
            </w:r>
          </w:p>
          <w:p w14:paraId="0F46B4C2">
            <w:pPr>
              <w:spacing w:line="276" w:lineRule="auto"/>
              <w:ind w:firstLine="560"/>
            </w:pPr>
            <w:r>
              <w:rPr>
                <w:rFonts w:hint="eastAsia"/>
              </w:rPr>
              <w:t>3)强化报表格式设计各场景细节操作的拖拉功能。</w:t>
            </w:r>
          </w:p>
          <w:p w14:paraId="37E610AC">
            <w:pPr>
              <w:pStyle w:val="8"/>
              <w:spacing w:line="276" w:lineRule="auto"/>
              <w:ind w:firstLine="0" w:firstLineChars="0"/>
              <w:rPr>
                <w:rFonts w:hint="eastAsia" w:ascii="新宋体" w:hAnsi="新宋体" w:eastAsia="新宋体"/>
                <w:szCs w:val="21"/>
              </w:rPr>
            </w:pPr>
            <w:r>
              <w:rPr>
                <w:rFonts w:hint="eastAsia" w:ascii="新宋体" w:hAnsi="新宋体" w:eastAsia="新宋体"/>
                <w:szCs w:val="21"/>
              </w:rPr>
              <w:t>4、账表一体化集成</w:t>
            </w:r>
          </w:p>
          <w:p w14:paraId="7594BA88">
            <w:pPr>
              <w:spacing w:line="276" w:lineRule="auto"/>
              <w:ind w:firstLine="560"/>
            </w:pPr>
            <w:r>
              <w:rPr>
                <w:rFonts w:hint="eastAsia"/>
              </w:rPr>
              <w:t>账表一体化的集成功能，报表表样的取数设置支持多种取数方式：业务函数（按单元格、区域的单元公式管理和向导）、语义模型GETDATA函数和字段取数（按二维的语义模型拖拽字段）、报表项目（对多维的数据方案进行行列拖拽）：</w:t>
            </w:r>
          </w:p>
          <w:p w14:paraId="639B8C01">
            <w:pPr>
              <w:spacing w:line="276" w:lineRule="auto"/>
            </w:pPr>
            <w:r>
              <w:rPr>
                <w:rFonts w:hint="eastAsia"/>
              </w:rPr>
              <w:t xml:space="preserve">1)数据方案支持从总账、预算进行取数。支持按原领域业务风格设置数据方案取数向导。 </w:t>
            </w:r>
          </w:p>
          <w:p w14:paraId="0E7FBC6A">
            <w:pPr>
              <w:spacing w:line="276" w:lineRule="auto"/>
            </w:pPr>
            <w:r>
              <w:rPr>
                <w:rFonts w:hint="eastAsia"/>
              </w:rPr>
              <w:t>2)业务函数、语义模型均是全领域范围内统一支持。</w:t>
            </w:r>
          </w:p>
          <w:p w14:paraId="28986B58">
            <w:pPr>
              <w:spacing w:line="276" w:lineRule="auto"/>
            </w:pPr>
            <w:r>
              <w:rPr>
                <w:rFonts w:hint="eastAsia"/>
              </w:rPr>
              <w:t>3)提供总账语义提供者“科目余额表”和“科目辅助余额表”：支持按单位、期间进行总账科目、科目+辅助核算的批量财务取数，支持按科目余额表、科目+辅助核算进行报表查询和分析。</w:t>
            </w:r>
          </w:p>
          <w:p w14:paraId="5FDC7618">
            <w:pPr>
              <w:spacing w:line="276" w:lineRule="auto"/>
            </w:pPr>
            <w:r>
              <w:rPr>
                <w:rFonts w:hint="eastAsia"/>
              </w:rPr>
              <w:t>4)支持报表数据取数权限控制：业务函数、语义模型支持按当前报表组织体系提取本级和下级组织的报表数据。</w:t>
            </w:r>
          </w:p>
          <w:p w14:paraId="2493C1DF">
            <w:pPr>
              <w:pStyle w:val="8"/>
              <w:spacing w:line="276" w:lineRule="auto"/>
              <w:ind w:firstLine="0" w:firstLineChars="0"/>
              <w:rPr>
                <w:rFonts w:hint="eastAsia" w:ascii="新宋体" w:hAnsi="新宋体" w:eastAsia="新宋体"/>
                <w:szCs w:val="21"/>
              </w:rPr>
            </w:pPr>
            <w:r>
              <w:rPr>
                <w:sz w:val="24"/>
                <w:szCs w:val="32"/>
              </w:rPr>
              <w:t>●</w:t>
            </w:r>
            <w:r>
              <w:rPr>
                <w:rFonts w:hint="eastAsia" w:ascii="新宋体" w:hAnsi="新宋体" w:eastAsia="新宋体"/>
                <w:szCs w:val="21"/>
              </w:rPr>
              <w:t>5、追溯查询</w:t>
            </w:r>
          </w:p>
          <w:p w14:paraId="61CFA638">
            <w:pPr>
              <w:spacing w:line="276" w:lineRule="auto"/>
            </w:pPr>
            <w:r>
              <w:rPr>
                <w:rFonts w:hint="eastAsia"/>
              </w:rPr>
              <w:t>支持追溯查询，可以穿透查询科目余额表、明细账，并直接联查到具体凭证。在数据态支持公式追踪，支持公式计算的在报表内的全计算路径的追踪查看，并联查到核算取数的单据。公式追踪可支持多个公式同时追踪。</w:t>
            </w:r>
          </w:p>
          <w:p w14:paraId="0D623B09">
            <w:pPr>
              <w:pStyle w:val="8"/>
              <w:spacing w:line="276" w:lineRule="auto"/>
              <w:ind w:firstLine="0" w:firstLineChars="0"/>
              <w:rPr>
                <w:rFonts w:hint="eastAsia" w:ascii="新宋体" w:hAnsi="新宋体" w:eastAsia="新宋体"/>
                <w:szCs w:val="21"/>
              </w:rPr>
            </w:pPr>
            <w:r>
              <w:rPr>
                <w:rFonts w:hint="eastAsia" w:ascii="新宋体" w:hAnsi="新宋体" w:eastAsia="新宋体"/>
                <w:szCs w:val="21"/>
              </w:rPr>
              <w:t>6、报表任务下发</w:t>
            </w:r>
          </w:p>
          <w:p w14:paraId="0CB38A0E">
            <w:pPr>
              <w:spacing w:line="276" w:lineRule="auto"/>
              <w:ind w:firstLine="560"/>
            </w:pPr>
            <w:r>
              <w:rPr>
                <w:rFonts w:hint="eastAsia"/>
              </w:rPr>
              <w:t>支持报表任务按照报表组织体系报表组织体系层层下发、一次性全部下发等多种下发模式。</w:t>
            </w:r>
          </w:p>
          <w:p w14:paraId="5BA3756A">
            <w:pPr>
              <w:pStyle w:val="8"/>
              <w:spacing w:line="276" w:lineRule="auto"/>
              <w:ind w:firstLine="0" w:firstLineChars="0"/>
              <w:rPr>
                <w:rFonts w:hint="eastAsia" w:ascii="新宋体" w:hAnsi="新宋体" w:eastAsia="新宋体"/>
                <w:szCs w:val="21"/>
              </w:rPr>
            </w:pPr>
            <w:r>
              <w:rPr>
                <w:rFonts w:hint="eastAsia" w:ascii="新宋体" w:hAnsi="新宋体" w:eastAsia="新宋体"/>
                <w:szCs w:val="21"/>
              </w:rPr>
              <w:t>7、报送管理查询</w:t>
            </w:r>
          </w:p>
          <w:p w14:paraId="21B14960">
            <w:pPr>
              <w:spacing w:line="276" w:lineRule="auto"/>
              <w:ind w:firstLine="560"/>
            </w:pPr>
            <w:r>
              <w:rPr>
                <w:rFonts w:hint="eastAsia"/>
              </w:rPr>
              <w:t>提供报送管理查询功能，以及用户查询方案的保存，使用户了解各分子公司报表数据的报送状态。</w:t>
            </w:r>
          </w:p>
          <w:p w14:paraId="15D29AFF">
            <w:pPr>
              <w:pStyle w:val="8"/>
              <w:spacing w:line="276" w:lineRule="auto"/>
              <w:ind w:firstLine="0" w:firstLineChars="0"/>
              <w:rPr>
                <w:rFonts w:hint="eastAsia" w:ascii="新宋体" w:hAnsi="新宋体" w:eastAsia="新宋体"/>
                <w:szCs w:val="21"/>
              </w:rPr>
            </w:pPr>
            <w:r>
              <w:rPr>
                <w:rFonts w:hint="eastAsia" w:ascii="新宋体" w:hAnsi="新宋体" w:eastAsia="新宋体"/>
                <w:szCs w:val="21"/>
              </w:rPr>
              <w:t>8、一致性检查</w:t>
            </w:r>
          </w:p>
          <w:p w14:paraId="436A06FE">
            <w:pPr>
              <w:spacing w:line="276" w:lineRule="auto"/>
              <w:ind w:firstLine="560"/>
            </w:pPr>
            <w:r>
              <w:rPr>
                <w:rFonts w:hint="eastAsia"/>
              </w:rPr>
              <w:t>支持对任务控制取数单位的账簿与报表的一致性：</w:t>
            </w:r>
          </w:p>
          <w:p w14:paraId="3FA42266">
            <w:pPr>
              <w:spacing w:line="276" w:lineRule="auto"/>
              <w:ind w:firstLine="560"/>
            </w:pPr>
            <w:r>
              <w:rPr>
                <w:rFonts w:hint="eastAsia"/>
              </w:rPr>
              <w:t>1) 任务参数中可设置管理的账表一致性检查: 上报受结账控制，任务已上报控制反结账。</w:t>
            </w:r>
          </w:p>
          <w:p w14:paraId="3E11F128">
            <w:pPr>
              <w:spacing w:line="276" w:lineRule="auto"/>
              <w:ind w:firstLine="560"/>
            </w:pPr>
            <w:r>
              <w:rPr>
                <w:rFonts w:hint="eastAsia"/>
              </w:rPr>
              <w:t>2) 中间管理组织可为下级进行批量配置（新增、修改、删除）并支持查询。</w:t>
            </w:r>
          </w:p>
          <w:p w14:paraId="618092F4">
            <w:pPr>
              <w:pStyle w:val="8"/>
              <w:spacing w:line="276" w:lineRule="auto"/>
              <w:ind w:firstLine="0" w:firstLineChars="0"/>
              <w:rPr>
                <w:rFonts w:hint="eastAsia" w:ascii="新宋体" w:hAnsi="新宋体" w:eastAsia="新宋体"/>
                <w:szCs w:val="21"/>
              </w:rPr>
            </w:pPr>
            <w:r>
              <w:rPr>
                <w:rFonts w:hint="eastAsia" w:ascii="新宋体" w:hAnsi="新宋体" w:eastAsia="新宋体"/>
                <w:szCs w:val="21"/>
              </w:rPr>
              <w:t>9、报表打印</w:t>
            </w:r>
          </w:p>
          <w:p w14:paraId="531D2DA6">
            <w:pPr>
              <w:spacing w:line="276" w:lineRule="auto"/>
              <w:ind w:firstLine="560"/>
            </w:pPr>
            <w:r>
              <w:rPr>
                <w:rFonts w:hint="eastAsia"/>
              </w:rPr>
              <w:t>支持打印方案和打印设置即时调整。支持单表和套表的打印执行时单位和报表选择。支持打印动态区分析展示、舍位平衡表、空表等。支持单位树形结构的打印和导出。</w:t>
            </w:r>
          </w:p>
          <w:p w14:paraId="79E01505">
            <w:pPr>
              <w:pStyle w:val="8"/>
              <w:spacing w:line="276" w:lineRule="auto"/>
              <w:ind w:firstLine="0" w:firstLineChars="0"/>
              <w:rPr>
                <w:rFonts w:hint="eastAsia" w:ascii="新宋体" w:hAnsi="新宋体" w:eastAsia="新宋体"/>
                <w:szCs w:val="21"/>
              </w:rPr>
            </w:pPr>
            <w:r>
              <w:rPr>
                <w:rFonts w:hint="eastAsia" w:ascii="新宋体" w:hAnsi="新宋体" w:eastAsia="新宋体"/>
                <w:szCs w:val="21"/>
              </w:rPr>
              <w:t>10、报表展示</w:t>
            </w:r>
          </w:p>
          <w:p w14:paraId="30D91A40">
            <w:pPr>
              <w:spacing w:line="276" w:lineRule="auto"/>
              <w:ind w:firstLine="560"/>
            </w:pPr>
            <w:r>
              <w:rPr>
                <w:rFonts w:hint="eastAsia"/>
              </w:rPr>
              <w:t>财务报表的展示形式灵活多样，能够灵活进行各类筛选、汇总、排序等功能。</w:t>
            </w:r>
          </w:p>
          <w:p w14:paraId="3C721FF2">
            <w:pPr>
              <w:pStyle w:val="8"/>
              <w:spacing w:line="276" w:lineRule="auto"/>
              <w:ind w:firstLine="0" w:firstLineChars="0"/>
              <w:rPr>
                <w:rFonts w:hint="eastAsia" w:ascii="新宋体" w:hAnsi="新宋体" w:eastAsia="新宋体"/>
                <w:szCs w:val="21"/>
              </w:rPr>
            </w:pPr>
            <w:r>
              <w:rPr>
                <w:rFonts w:hint="eastAsia" w:ascii="新宋体" w:hAnsi="新宋体" w:eastAsia="新宋体"/>
                <w:szCs w:val="21"/>
              </w:rPr>
              <w:t>11、报表数据订阅</w:t>
            </w:r>
          </w:p>
          <w:p w14:paraId="0E78CE50">
            <w:pPr>
              <w:spacing w:line="276" w:lineRule="auto"/>
              <w:ind w:firstLine="560"/>
            </w:pPr>
            <w:r>
              <w:rPr>
                <w:rFonts w:hint="eastAsia"/>
              </w:rPr>
              <w:t>支持报表数据订阅，可设置订阅的报表数据（单位、期间）、发送方式和发布对象，并提供计划执行和异步执行：</w:t>
            </w:r>
          </w:p>
          <w:p w14:paraId="30B58754">
            <w:pPr>
              <w:spacing w:line="276" w:lineRule="auto"/>
              <w:ind w:firstLine="560"/>
            </w:pPr>
            <w:r>
              <w:rPr>
                <w:rFonts w:hint="eastAsia"/>
              </w:rPr>
              <w:t>1)上级单位通过设置批量订阅规则，可选择任务中的报表，可把本级或下级单位的报表数据(选择单位、选择期间)，设置发送方式和发布对象。发布对象支持按角色、用户、邮件地址。发布方式支持邮件、消息、我的报表库。</w:t>
            </w:r>
          </w:p>
          <w:p w14:paraId="63CE55C6">
            <w:pPr>
              <w:spacing w:line="276" w:lineRule="auto"/>
              <w:ind w:firstLine="560"/>
            </w:pPr>
            <w:r>
              <w:rPr>
                <w:rFonts w:hint="eastAsia"/>
              </w:rPr>
              <w:t>2)订阅执行支持设置计划任务，可设置在指定时间按指定频率等异步进行发布到订阅规则设置的发布方式。同时也支持即时执行。</w:t>
            </w:r>
          </w:p>
          <w:p w14:paraId="571D2A9C">
            <w:pPr>
              <w:spacing w:line="276" w:lineRule="auto"/>
              <w:ind w:firstLine="560"/>
            </w:pPr>
            <w:r>
              <w:rPr>
                <w:rFonts w:hint="eastAsia"/>
              </w:rPr>
              <w:t>3)提供报表数据订阅执行监控，可查看发布报表数据、发布方式、是否成功等。</w:t>
            </w:r>
          </w:p>
          <w:p w14:paraId="7D5150AC">
            <w:pPr>
              <w:pStyle w:val="8"/>
              <w:spacing w:line="276" w:lineRule="auto"/>
              <w:ind w:firstLine="0" w:firstLineChars="0"/>
              <w:rPr>
                <w:rFonts w:hint="eastAsia" w:ascii="新宋体" w:hAnsi="新宋体" w:eastAsia="新宋体"/>
                <w:szCs w:val="21"/>
              </w:rPr>
            </w:pPr>
            <w:r>
              <w:rPr>
                <w:rFonts w:hint="eastAsia" w:ascii="新宋体" w:hAnsi="新宋体" w:eastAsia="新宋体"/>
                <w:szCs w:val="21"/>
              </w:rPr>
              <w:t>12、报表直报</w:t>
            </w:r>
          </w:p>
          <w:p w14:paraId="22FD9122">
            <w:pPr>
              <w:spacing w:line="276" w:lineRule="auto"/>
              <w:ind w:firstLine="560"/>
            </w:pPr>
            <w:r>
              <w:rPr>
                <w:rFonts w:hint="eastAsia"/>
              </w:rPr>
              <w:t>支持报表数据按照报表组织体系的层层上报和直报模式，并提供对报表数据“确认”环节加强针对报表数据的管控；支持报表数据按任务整体上报模式和按报表选择上报模式，满足用户对上报灵活性和上报管理有效性的需求。</w:t>
            </w:r>
          </w:p>
          <w:p w14:paraId="5AA2C986">
            <w:pPr>
              <w:pStyle w:val="8"/>
              <w:spacing w:line="276" w:lineRule="auto"/>
              <w:ind w:firstLine="0" w:firstLineChars="0"/>
              <w:rPr>
                <w:rFonts w:hint="eastAsia" w:ascii="新宋体" w:hAnsi="新宋体" w:eastAsia="新宋体"/>
                <w:szCs w:val="21"/>
              </w:rPr>
            </w:pPr>
            <w:r>
              <w:rPr>
                <w:rFonts w:hint="eastAsia" w:ascii="新宋体" w:hAnsi="新宋体" w:eastAsia="新宋体"/>
                <w:szCs w:val="21"/>
              </w:rPr>
              <w:t>13、报表汇总</w:t>
            </w:r>
          </w:p>
          <w:p w14:paraId="5EDB353D">
            <w:pPr>
              <w:spacing w:line="276" w:lineRule="auto"/>
              <w:ind w:firstLine="560"/>
            </w:pPr>
            <w:r>
              <w:rPr>
                <w:rFonts w:ascii="Times New Roman" w:hAnsi="Times New Roman" w:cs="Times New Roman"/>
              </w:rPr>
              <w:t>▲</w:t>
            </w:r>
            <w:r>
              <w:rPr>
                <w:rFonts w:hint="eastAsia"/>
              </w:rPr>
              <w:t>支持按报表组织体系、报表组织属性进行的多视角的汇</w:t>
            </w:r>
            <w:r>
              <w:rPr>
                <w:rFonts w:hint="eastAsia"/>
                <w:highlight w:val="yellow"/>
              </w:rPr>
              <w:t>总。支持不同院区之间的内部单位往来抵消。</w:t>
            </w:r>
          </w:p>
          <w:p w14:paraId="1DE1B553">
            <w:pPr>
              <w:pStyle w:val="8"/>
              <w:spacing w:line="276" w:lineRule="auto"/>
              <w:ind w:firstLine="0" w:firstLineChars="0"/>
              <w:rPr>
                <w:rFonts w:hint="eastAsia" w:ascii="新宋体" w:hAnsi="新宋体" w:eastAsia="新宋体"/>
                <w:szCs w:val="21"/>
              </w:rPr>
            </w:pPr>
            <w:r>
              <w:rPr>
                <w:rFonts w:hint="eastAsia" w:ascii="新宋体" w:hAnsi="新宋体" w:eastAsia="新宋体"/>
                <w:szCs w:val="21"/>
              </w:rPr>
              <w:t>14、公式管理</w:t>
            </w:r>
          </w:p>
          <w:p w14:paraId="15DE77E0">
            <w:pPr>
              <w:spacing w:line="276" w:lineRule="auto"/>
              <w:ind w:firstLine="560"/>
            </w:pPr>
            <w:r>
              <w:rPr>
                <w:rFonts w:hint="eastAsia"/>
              </w:rPr>
              <w:t>提供公式集中有效的管理，通过公式管理器对各类公式进行集中、分类管理，支持公式复用，并增强公式向导、公式追踪等工具的深度应用，提高公式编辑效率。</w:t>
            </w:r>
          </w:p>
          <w:p w14:paraId="4C7FC149">
            <w:pPr>
              <w:widowControl/>
              <w:adjustRightInd w:val="0"/>
              <w:snapToGrid w:val="0"/>
              <w:spacing w:line="276" w:lineRule="auto"/>
              <w:jc w:val="left"/>
              <w:rPr>
                <w:color w:val="000000"/>
              </w:rPr>
            </w:pPr>
            <w:r>
              <w:rPr>
                <w:rFonts w:hint="eastAsia" w:ascii="新宋体" w:hAnsi="新宋体" w:eastAsia="新宋体"/>
                <w:szCs w:val="21"/>
              </w:rPr>
              <w:t>15、</w:t>
            </w:r>
            <w:r>
              <w:rPr>
                <w:rFonts w:hint="eastAsia"/>
                <w:color w:val="000000"/>
              </w:rPr>
              <w:t>财务报表提供报送管理，包括请求退回、催报、报送状态查询（未上报、已退回、已上报）、报表汇总功能。</w:t>
            </w:r>
          </w:p>
          <w:p w14:paraId="115F8E8B">
            <w:pPr>
              <w:spacing w:line="276" w:lineRule="auto"/>
              <w:jc w:val="left"/>
              <w:rPr>
                <w:color w:val="auto"/>
                <w:highlight w:val="none"/>
                <w:vertAlign w:val="baseline"/>
              </w:rPr>
            </w:pPr>
            <w:r>
              <w:rPr>
                <w:rFonts w:ascii="Times New Roman" w:hAnsi="Times New Roman" w:cs="Times New Roman"/>
              </w:rPr>
              <w:t>▲</w:t>
            </w:r>
            <w:r>
              <w:rPr>
                <w:rFonts w:hint="eastAsia" w:ascii="新宋体" w:hAnsi="新宋体" w:eastAsia="新宋体"/>
                <w:szCs w:val="21"/>
              </w:rPr>
              <w:t>16、</w:t>
            </w:r>
            <w:r>
              <w:rPr>
                <w:rFonts w:hint="eastAsia"/>
                <w:color w:val="000000"/>
              </w:rPr>
              <w:t>支持报表表内、表间自动审核功能，通过设置报表数据勾稽关系，数据不一致时审核不通过。</w:t>
            </w:r>
          </w:p>
        </w:tc>
        <w:tc>
          <w:tcPr>
            <w:tcW w:w="862" w:type="dxa"/>
            <w:vAlign w:val="top"/>
          </w:tcPr>
          <w:p w14:paraId="2D1DD86F">
            <w:pPr>
              <w:spacing w:line="480" w:lineRule="auto"/>
              <w:jc w:val="center"/>
              <w:rPr>
                <w:color w:val="auto"/>
                <w:highlight w:val="none"/>
                <w:vertAlign w:val="baseline"/>
              </w:rPr>
            </w:pPr>
            <w:r>
              <w:rPr>
                <w:rFonts w:hint="eastAsia"/>
              </w:rPr>
              <w:t>1</w:t>
            </w:r>
          </w:p>
        </w:tc>
        <w:tc>
          <w:tcPr>
            <w:tcW w:w="918" w:type="dxa"/>
            <w:vAlign w:val="top"/>
          </w:tcPr>
          <w:p w14:paraId="02D50CAD">
            <w:pPr>
              <w:spacing w:line="480" w:lineRule="auto"/>
              <w:jc w:val="center"/>
              <w:rPr>
                <w:color w:val="auto"/>
                <w:highlight w:val="none"/>
                <w:vertAlign w:val="baseline"/>
              </w:rPr>
            </w:pPr>
            <w:r>
              <w:rPr>
                <w:rFonts w:hint="eastAsia"/>
              </w:rPr>
              <w:t>套</w:t>
            </w:r>
          </w:p>
        </w:tc>
      </w:tr>
      <w:tr w14:paraId="276C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383FBFD7">
            <w:pPr>
              <w:spacing w:line="480" w:lineRule="auto"/>
              <w:jc w:val="center"/>
            </w:pPr>
            <w:r>
              <w:rPr>
                <w:rFonts w:hint="eastAsia"/>
              </w:rPr>
              <w:t>4</w:t>
            </w:r>
          </w:p>
        </w:tc>
        <w:tc>
          <w:tcPr>
            <w:tcW w:w="887" w:type="dxa"/>
          </w:tcPr>
          <w:p w14:paraId="00AF7C71">
            <w:pPr>
              <w:spacing w:line="480" w:lineRule="auto"/>
              <w:jc w:val="center"/>
            </w:pPr>
            <w:r>
              <w:rPr>
                <w:rFonts w:hint="eastAsia"/>
              </w:rPr>
              <w:t>银医直连</w:t>
            </w:r>
          </w:p>
        </w:tc>
        <w:tc>
          <w:tcPr>
            <w:tcW w:w="10763" w:type="dxa"/>
          </w:tcPr>
          <w:p w14:paraId="7D845FFA">
            <w:pPr>
              <w:spacing w:line="276" w:lineRule="auto"/>
              <w:jc w:val="left"/>
            </w:pPr>
            <w:r>
              <w:rPr>
                <w:rFonts w:hint="eastAsia"/>
              </w:rPr>
              <w:t>(1)支持自动获取银行账户收支信息，自动银行对账。</w:t>
            </w:r>
          </w:p>
          <w:p w14:paraId="5A62E98A">
            <w:pPr>
              <w:spacing w:line="276" w:lineRule="auto"/>
              <w:jc w:val="left"/>
            </w:pPr>
            <w:r>
              <w:rPr>
                <w:rFonts w:hint="eastAsia"/>
              </w:rPr>
              <w:t>(2)支持对现金支取的申请、审批业务。</w:t>
            </w:r>
          </w:p>
          <w:p w14:paraId="1FA62661">
            <w:pPr>
              <w:spacing w:line="276" w:lineRule="auto"/>
              <w:jc w:val="left"/>
            </w:pPr>
            <w:r>
              <w:rPr>
                <w:rFonts w:hint="eastAsia"/>
              </w:rPr>
              <w:t>(3)支持形成结算工作台，批量处理支付业务。</w:t>
            </w:r>
          </w:p>
          <w:p w14:paraId="441B2982">
            <w:pPr>
              <w:spacing w:line="276" w:lineRule="auto"/>
              <w:jc w:val="left"/>
            </w:pPr>
            <w:r>
              <w:rPr>
                <w:rFonts w:hint="eastAsia"/>
              </w:rPr>
              <w:t>(4)银行对账单提供文件导入、网银下载等多种方式。</w:t>
            </w:r>
          </w:p>
          <w:p w14:paraId="61144AFF">
            <w:pPr>
              <w:spacing w:line="276" w:lineRule="auto"/>
              <w:jc w:val="left"/>
            </w:pPr>
            <w:r>
              <w:rPr>
                <w:rFonts w:hint="eastAsia"/>
              </w:rPr>
              <w:t>(5)可设置灵活的银行对账标准，提供自动对账、手工对账、快速对账等多种方式。</w:t>
            </w:r>
          </w:p>
          <w:p w14:paraId="628E129E">
            <w:pPr>
              <w:spacing w:line="276" w:lineRule="auto"/>
              <w:jc w:val="left"/>
            </w:pPr>
            <w:r>
              <w:rPr>
                <w:rFonts w:hint="eastAsia"/>
              </w:rPr>
              <w:t>(6)提供余额表和勾兑情况表、长期未达审计等分析功能。</w:t>
            </w:r>
          </w:p>
          <w:p w14:paraId="7F6D2C82">
            <w:pPr>
              <w:spacing w:line="276" w:lineRule="auto"/>
              <w:jc w:val="left"/>
            </w:pPr>
            <w:r>
              <w:rPr>
                <w:rFonts w:hint="eastAsia"/>
              </w:rPr>
              <w:t>(7)支持网上银行（银医直联）关联各类业务系统单据，包括付款单、付款结算单、划账结算单、借款单、报销单的网上支付业务，支持网上转账、合并支付；</w:t>
            </w:r>
          </w:p>
          <w:p w14:paraId="1A5173C3">
            <w:pPr>
              <w:spacing w:line="276" w:lineRule="auto"/>
              <w:jc w:val="left"/>
            </w:pPr>
            <w:r>
              <w:rPr>
                <w:rFonts w:hint="eastAsia"/>
              </w:rPr>
              <w:t>(8)支持各类付款单据等通过银医直连向银行发出付款指令，并可以跟踪付款指令的银行处理状态，提供了网上银行付款指令状态查询功能。</w:t>
            </w:r>
          </w:p>
          <w:p w14:paraId="41D2AF1F">
            <w:pPr>
              <w:spacing w:line="276" w:lineRule="auto"/>
              <w:jc w:val="left"/>
            </w:pPr>
            <w:r>
              <w:rPr>
                <w:rFonts w:hint="eastAsia"/>
              </w:rPr>
              <w:t>(9)支持查询各种账户的日记账及日报表。主要支持账户余额查询（银行账户、现金账户最新的实时金额、可用余额、账面余额）、资金余额查询、现金日查询、银行存款日查询、现金日记账查询、银行存款日记账查询以及结算明细查询。能够掌握定期内资金变化和结存情况。</w:t>
            </w:r>
          </w:p>
          <w:p w14:paraId="4A950357">
            <w:pPr>
              <w:spacing w:line="276" w:lineRule="auto"/>
              <w:jc w:val="left"/>
            </w:pPr>
            <w:r>
              <w:rPr>
                <w:rFonts w:hint="eastAsia"/>
              </w:rPr>
              <w:t>(10)支持自动生成资金支付凭证到总账系统。</w:t>
            </w:r>
          </w:p>
          <w:p w14:paraId="51ADFA98">
            <w:pPr>
              <w:spacing w:line="276" w:lineRule="auto"/>
              <w:jc w:val="left"/>
            </w:pPr>
            <w:r>
              <w:rPr>
                <w:rFonts w:hint="eastAsia"/>
              </w:rPr>
              <w:t>(11)付款支付时支持审批流，支持按金额多级授权，有数字证书及U-key等多重安全认证。</w:t>
            </w:r>
          </w:p>
          <w:p w14:paraId="1A7378D4">
            <w:pPr>
              <w:spacing w:line="276" w:lineRule="auto"/>
              <w:jc w:val="left"/>
            </w:pPr>
            <w:r>
              <w:rPr>
                <w:rFonts w:hint="eastAsia"/>
              </w:rPr>
              <w:t>(12)支持多个收付款银行业务查询处理要求，为医疗机构提供灵活安全的网上银行收付接口。</w:t>
            </w:r>
          </w:p>
          <w:p w14:paraId="5AEF2E29">
            <w:pPr>
              <w:spacing w:line="276" w:lineRule="auto"/>
              <w:jc w:val="left"/>
            </w:pPr>
            <w:r>
              <w:rPr>
                <w:rFonts w:hint="eastAsia"/>
              </w:rPr>
              <w:t>(13)支持实时余额监控提醒，资金余额低于预警线需要预警提醒。</w:t>
            </w:r>
          </w:p>
          <w:p w14:paraId="24CAD03C">
            <w:pPr>
              <w:spacing w:line="276" w:lineRule="auto"/>
              <w:jc w:val="left"/>
            </w:pPr>
            <w:r>
              <w:rPr>
                <w:rFonts w:hint="eastAsia"/>
              </w:rPr>
              <w:t>(14)支持一定期间内向相同账号付出相同金额时，系统自动提醒确认是否为重复支付。</w:t>
            </w:r>
          </w:p>
          <w:p w14:paraId="13A35282">
            <w:pPr>
              <w:spacing w:line="276" w:lineRule="auto"/>
              <w:jc w:val="left"/>
            </w:pPr>
            <w:r>
              <w:rPr>
                <w:rFonts w:hint="eastAsia"/>
              </w:rPr>
              <w:t>(15)支持根据银行的到账通知，生成现金管理、应收应付管理、资金结算等单据。</w:t>
            </w:r>
          </w:p>
          <w:p w14:paraId="7BA10E5A">
            <w:pPr>
              <w:spacing w:line="276" w:lineRule="auto"/>
              <w:jc w:val="left"/>
            </w:pPr>
            <w:r>
              <w:rPr>
                <w:rFonts w:hint="eastAsia"/>
              </w:rPr>
              <w:t>(16)支持银行对账单与医院会计凭证、银行存款日记账的对账。</w:t>
            </w:r>
          </w:p>
          <w:p w14:paraId="6CB09DAF">
            <w:pPr>
              <w:spacing w:line="276" w:lineRule="auto"/>
              <w:jc w:val="left"/>
            </w:pPr>
            <w:r>
              <w:rPr>
                <w:rFonts w:hint="eastAsia"/>
              </w:rPr>
              <w:t>(17)支持将下载的银行对账单与总账会计凭证，根据唯一的对账标识码，进行自动对账。</w:t>
            </w:r>
          </w:p>
          <w:p w14:paraId="4E9E40AE">
            <w:pPr>
              <w:spacing w:line="276" w:lineRule="auto"/>
              <w:jc w:val="left"/>
            </w:pPr>
            <w:r>
              <w:rPr>
                <w:rFonts w:hint="eastAsia"/>
              </w:rPr>
              <w:t>(18)在多个组织使用同一银行账户进行收付款时，支持多个核算账簿合并对账。</w:t>
            </w:r>
          </w:p>
          <w:p w14:paraId="282421AA">
            <w:pPr>
              <w:spacing w:line="276" w:lineRule="auto"/>
              <w:jc w:val="left"/>
            </w:pPr>
            <w:r>
              <w:rPr>
                <w:rFonts w:hint="eastAsia"/>
              </w:rPr>
              <w:t>(19)支持付款申请有误时原路退回或退回经办人修改（即逆向操作）。</w:t>
            </w:r>
          </w:p>
          <w:p w14:paraId="50F58D12">
            <w:pPr>
              <w:spacing w:line="276" w:lineRule="auto"/>
              <w:jc w:val="left"/>
              <w:rPr>
                <w:rFonts w:hint="eastAsia"/>
              </w:rPr>
            </w:pPr>
            <w:r>
              <w:rPr>
                <w:rFonts w:hint="eastAsia"/>
              </w:rPr>
              <w:t>(20)</w:t>
            </w:r>
            <w:r>
              <w:t>支持自动下载银行电子回单，回单自动关联相关总账凭证、收付款单据，并实现自动对账。（电子回单带电子印章，具有法律效力，适用于财务审计）</w:t>
            </w:r>
          </w:p>
          <w:p w14:paraId="6745ACA7">
            <w:pPr>
              <w:spacing w:line="276" w:lineRule="auto"/>
              <w:jc w:val="left"/>
            </w:pPr>
            <w:r>
              <w:t>●</w:t>
            </w:r>
            <w:r>
              <w:rPr>
                <w:rFonts w:hint="eastAsia"/>
              </w:rPr>
              <w:t>(21)支持经由业务系统（应付、采购、报销管理）发起付款，和应付核销，业务和资金、财务一体化的场景。</w:t>
            </w:r>
          </w:p>
        </w:tc>
        <w:tc>
          <w:tcPr>
            <w:tcW w:w="862" w:type="dxa"/>
          </w:tcPr>
          <w:p w14:paraId="76FD65F2">
            <w:pPr>
              <w:spacing w:line="480" w:lineRule="auto"/>
              <w:jc w:val="center"/>
            </w:pPr>
            <w:r>
              <w:rPr>
                <w:rFonts w:hint="eastAsia"/>
              </w:rPr>
              <w:t>1</w:t>
            </w:r>
          </w:p>
        </w:tc>
        <w:tc>
          <w:tcPr>
            <w:tcW w:w="918" w:type="dxa"/>
          </w:tcPr>
          <w:p w14:paraId="723CF411">
            <w:pPr>
              <w:spacing w:line="480" w:lineRule="auto"/>
              <w:jc w:val="center"/>
            </w:pPr>
            <w:r>
              <w:rPr>
                <w:rFonts w:hint="eastAsia"/>
              </w:rPr>
              <w:t>套</w:t>
            </w:r>
          </w:p>
        </w:tc>
      </w:tr>
      <w:tr w14:paraId="5B44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shd w:val="clear" w:color="auto" w:fill="auto"/>
            <w:vAlign w:val="top"/>
          </w:tcPr>
          <w:p w14:paraId="160D6BFD">
            <w:pPr>
              <w:spacing w:line="480" w:lineRule="auto"/>
              <w:jc w:val="center"/>
              <w:rPr>
                <w:rFonts w:asciiTheme="minorHAnsi" w:hAnsiTheme="minorHAnsi" w:eastAsiaTheme="minorEastAsia" w:cstheme="minorBidi"/>
                <w:kern w:val="2"/>
                <w:sz w:val="21"/>
                <w:szCs w:val="22"/>
                <w:lang w:val="en-US" w:eastAsia="zh-CN" w:bidi="ar-SA"/>
              </w:rPr>
            </w:pPr>
            <w:r>
              <w:rPr>
                <w:rFonts w:hint="eastAsia"/>
              </w:rPr>
              <w:t>5</w:t>
            </w:r>
          </w:p>
        </w:tc>
        <w:tc>
          <w:tcPr>
            <w:tcW w:w="887" w:type="dxa"/>
            <w:shd w:val="clear" w:color="auto" w:fill="auto"/>
            <w:vAlign w:val="top"/>
          </w:tcPr>
          <w:p w14:paraId="3599B2DB">
            <w:pPr>
              <w:spacing w:line="480" w:lineRule="auto"/>
              <w:jc w:val="center"/>
              <w:rPr>
                <w:rFonts w:asciiTheme="minorHAnsi" w:hAnsiTheme="minorHAnsi" w:eastAsiaTheme="minorEastAsia" w:cstheme="minorBidi"/>
                <w:kern w:val="2"/>
                <w:sz w:val="21"/>
                <w:szCs w:val="22"/>
                <w:lang w:val="en-US" w:eastAsia="zh-CN" w:bidi="ar-SA"/>
              </w:rPr>
            </w:pPr>
            <w:r>
              <w:rPr>
                <w:rFonts w:hint="eastAsia"/>
              </w:rPr>
              <w:t>现金出纳</w:t>
            </w:r>
          </w:p>
        </w:tc>
        <w:tc>
          <w:tcPr>
            <w:tcW w:w="10763" w:type="dxa"/>
            <w:shd w:val="clear" w:color="auto" w:fill="auto"/>
            <w:vAlign w:val="top"/>
          </w:tcPr>
          <w:p w14:paraId="6F2026C2">
            <w:pPr>
              <w:spacing w:line="276" w:lineRule="auto"/>
              <w:jc w:val="left"/>
            </w:pPr>
            <w:r>
              <w:rPr>
                <w:rFonts w:hint="eastAsia"/>
              </w:rPr>
              <w:t>加强医院资金集中管控，通过信息系统实现医院资金的集中管理、资金的统筹安排、加速资金周转、监控资金风险，提高资金的整体使用效益。支持医院对整体资金的全面实时监控，实现医院与银行的直联（对接银医直连模块），完成业务与资金、资金与财务的一体化，实现事前计划、事中控制和事后分析，全面提升医院的内部管理能力和核心竞争力。</w:t>
            </w:r>
          </w:p>
          <w:p w14:paraId="57262A66">
            <w:pPr>
              <w:spacing w:line="276" w:lineRule="auto"/>
              <w:jc w:val="left"/>
            </w:pPr>
            <w:r>
              <w:tab/>
            </w:r>
            <w:r>
              <w:rPr>
                <w:rFonts w:hint="eastAsia"/>
              </w:rPr>
              <w:t>支持对现金支取的申请、审批业务。</w:t>
            </w:r>
          </w:p>
          <w:p w14:paraId="004F1701">
            <w:pPr>
              <w:spacing w:line="276" w:lineRule="auto"/>
              <w:jc w:val="left"/>
            </w:pPr>
            <w:r>
              <w:tab/>
            </w:r>
            <w:r>
              <w:rPr>
                <w:rFonts w:hint="eastAsia"/>
              </w:rPr>
              <w:t>支持形成结算工作台，批量处理支付业务。</w:t>
            </w:r>
          </w:p>
          <w:p w14:paraId="55E501B7">
            <w:pPr>
              <w:spacing w:line="276" w:lineRule="auto"/>
              <w:jc w:val="left"/>
            </w:pPr>
            <w:r>
              <w:tab/>
            </w:r>
            <w:r>
              <w:rPr>
                <w:rFonts w:hint="eastAsia"/>
              </w:rPr>
              <w:t>支持银行对账单文件导入、对账。</w:t>
            </w:r>
          </w:p>
          <w:p w14:paraId="5FC5FB6E">
            <w:pPr>
              <w:spacing w:line="276" w:lineRule="auto"/>
              <w:jc w:val="left"/>
            </w:pPr>
            <w:r>
              <w:tab/>
            </w:r>
            <w:r>
              <w:rPr>
                <w:rFonts w:hint="eastAsia"/>
              </w:rPr>
              <w:t>可设置灵活的银行对账标准，提供自动对账、手工对账、快速对账等多种方式。</w:t>
            </w:r>
          </w:p>
          <w:p w14:paraId="171B9829">
            <w:pPr>
              <w:spacing w:line="276" w:lineRule="auto"/>
              <w:jc w:val="left"/>
            </w:pPr>
            <w:r>
              <w:tab/>
            </w:r>
            <w:r>
              <w:rPr>
                <w:rFonts w:hint="eastAsia"/>
              </w:rPr>
              <w:t>提供余额表和勾兑情况表、长期未达审计等分析功能。</w:t>
            </w:r>
          </w:p>
          <w:p w14:paraId="3109CB0A">
            <w:pPr>
              <w:spacing w:line="276" w:lineRule="auto"/>
              <w:jc w:val="left"/>
            </w:pPr>
            <w:r>
              <w:tab/>
            </w:r>
            <w:r>
              <w:rPr>
                <w:rFonts w:hint="eastAsia"/>
              </w:rPr>
              <w:t>支持对接银医直联，包括付款单、付款结算单、划账结算单、借款单、报销单的网上支付业务，支持网上转账、合并支付；</w:t>
            </w:r>
          </w:p>
          <w:p w14:paraId="5A18AE3D">
            <w:pPr>
              <w:spacing w:line="276" w:lineRule="auto"/>
              <w:jc w:val="left"/>
            </w:pPr>
            <w:r>
              <w:tab/>
            </w:r>
            <w:r>
              <w:rPr>
                <w:rFonts w:hint="eastAsia"/>
              </w:rPr>
              <w:t>支持资金管理、报账管理、人员薪酬管理等通过银医直连向银行发出付款指令，并可以跟踪付款指令的银行处理状态，提供了网上银行付款指令状态查询功能。</w:t>
            </w:r>
          </w:p>
          <w:p w14:paraId="64524FF0">
            <w:pPr>
              <w:spacing w:line="276" w:lineRule="auto"/>
              <w:jc w:val="left"/>
            </w:pPr>
            <w:r>
              <w:tab/>
            </w:r>
            <w:r>
              <w:rPr>
                <w:rFonts w:hint="eastAsia"/>
              </w:rPr>
              <w:t>支持查询各种账户的日记账及日报表。主要支持账户余额查询（银行账户、现金账户最新的实时金额、可用余额、账面余额）、资金余额查询、现金日查询、银行存款日查询、现金日记账查询、银行存款日记账查询以及结算明细查询。能够掌握定期内资金变化和结存情况。</w:t>
            </w:r>
          </w:p>
          <w:p w14:paraId="72407144">
            <w:pPr>
              <w:spacing w:line="276" w:lineRule="auto"/>
              <w:jc w:val="left"/>
            </w:pPr>
            <w:r>
              <w:tab/>
            </w:r>
            <w:r>
              <w:rPr>
                <w:rFonts w:hint="eastAsia"/>
              </w:rPr>
              <w:t>支持自动生成资金支付凭证到总账系统。</w:t>
            </w:r>
          </w:p>
          <w:p w14:paraId="37F8A943">
            <w:pPr>
              <w:spacing w:line="276" w:lineRule="auto"/>
              <w:jc w:val="left"/>
              <w:rPr>
                <w:rFonts w:asciiTheme="minorHAnsi" w:hAnsiTheme="minorHAnsi" w:eastAsiaTheme="minorEastAsia" w:cstheme="minorBidi"/>
                <w:kern w:val="2"/>
                <w:sz w:val="21"/>
                <w:szCs w:val="22"/>
                <w:lang w:val="en-US" w:eastAsia="zh-CN" w:bidi="ar-SA"/>
              </w:rPr>
            </w:pPr>
            <w:r>
              <w:tab/>
            </w:r>
            <w:r>
              <w:rPr>
                <w:rFonts w:hint="eastAsia"/>
              </w:rPr>
              <w:t>付款支付时支持审批流，支持按金额多级授权，有数字证书及</w:t>
            </w:r>
            <w:r>
              <w:t>U-key</w:t>
            </w:r>
            <w:r>
              <w:rPr>
                <w:rFonts w:hint="eastAsia"/>
              </w:rPr>
              <w:t>等多重安全认证。</w:t>
            </w:r>
          </w:p>
        </w:tc>
        <w:tc>
          <w:tcPr>
            <w:tcW w:w="862" w:type="dxa"/>
            <w:shd w:val="clear" w:color="auto" w:fill="auto"/>
            <w:vAlign w:val="top"/>
          </w:tcPr>
          <w:p w14:paraId="5B8934D8">
            <w:pPr>
              <w:spacing w:line="480" w:lineRule="auto"/>
              <w:jc w:val="center"/>
              <w:rPr>
                <w:rFonts w:asciiTheme="minorHAnsi" w:hAnsiTheme="minorHAnsi" w:eastAsiaTheme="minorEastAsia" w:cstheme="minorBidi"/>
                <w:kern w:val="2"/>
                <w:sz w:val="21"/>
                <w:szCs w:val="22"/>
                <w:lang w:val="en-US" w:eastAsia="zh-CN" w:bidi="ar-SA"/>
              </w:rPr>
            </w:pPr>
            <w:r>
              <w:rPr>
                <w:rFonts w:hint="eastAsia"/>
              </w:rPr>
              <w:t>1</w:t>
            </w:r>
          </w:p>
        </w:tc>
        <w:tc>
          <w:tcPr>
            <w:tcW w:w="918" w:type="dxa"/>
            <w:shd w:val="clear" w:color="auto" w:fill="auto"/>
            <w:vAlign w:val="top"/>
          </w:tcPr>
          <w:p w14:paraId="368868E1">
            <w:pPr>
              <w:spacing w:line="480" w:lineRule="auto"/>
              <w:jc w:val="center"/>
              <w:rPr>
                <w:rFonts w:asciiTheme="minorHAnsi" w:hAnsiTheme="minorHAnsi" w:eastAsiaTheme="minorEastAsia" w:cstheme="minorBidi"/>
                <w:kern w:val="2"/>
                <w:sz w:val="21"/>
                <w:szCs w:val="22"/>
                <w:lang w:val="en-US" w:eastAsia="zh-CN" w:bidi="ar-SA"/>
              </w:rPr>
            </w:pPr>
            <w:r>
              <w:rPr>
                <w:rFonts w:hint="eastAsia"/>
              </w:rPr>
              <w:t>套</w:t>
            </w:r>
          </w:p>
        </w:tc>
      </w:tr>
      <w:tr w14:paraId="36C0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2CA9583B">
            <w:pPr>
              <w:spacing w:line="480" w:lineRule="auto"/>
              <w:jc w:val="center"/>
            </w:pPr>
            <w:r>
              <w:rPr>
                <w:rFonts w:hint="eastAsia"/>
              </w:rPr>
              <w:t>6</w:t>
            </w:r>
          </w:p>
        </w:tc>
        <w:tc>
          <w:tcPr>
            <w:tcW w:w="887" w:type="dxa"/>
          </w:tcPr>
          <w:p w14:paraId="21B2F3C0">
            <w:pPr>
              <w:spacing w:line="480" w:lineRule="auto"/>
              <w:jc w:val="center"/>
            </w:pPr>
            <w:r>
              <w:rPr>
                <w:rFonts w:hint="eastAsia"/>
                <w:highlight w:val="yellow"/>
              </w:rPr>
              <w:t>应收</w:t>
            </w:r>
            <w:r>
              <w:rPr>
                <w:rFonts w:hint="eastAsia"/>
              </w:rPr>
              <w:t>应付管理</w:t>
            </w:r>
          </w:p>
        </w:tc>
        <w:tc>
          <w:tcPr>
            <w:tcW w:w="10763" w:type="dxa"/>
          </w:tcPr>
          <w:p w14:paraId="0306C1E3">
            <w:pPr>
              <w:spacing w:line="276" w:lineRule="auto"/>
              <w:jc w:val="left"/>
              <w:rPr>
                <w:highlight w:val="yellow"/>
              </w:rPr>
            </w:pPr>
            <w:r>
              <w:tab/>
            </w:r>
            <w:r>
              <w:rPr>
                <w:highlight w:val="yellow"/>
              </w:rPr>
              <w:t>应收账款确认环节灵活可配置：应收管理支持供应商应收单、供应商收款单。</w:t>
            </w:r>
          </w:p>
          <w:p w14:paraId="468E0E2E">
            <w:pPr>
              <w:spacing w:line="276" w:lineRule="auto"/>
              <w:ind w:firstLine="420" w:firstLineChars="200"/>
              <w:jc w:val="left"/>
              <w:rPr>
                <w:highlight w:val="yellow"/>
              </w:rPr>
            </w:pPr>
            <w:r>
              <w:rPr>
                <w:highlight w:val="yellow"/>
              </w:rPr>
              <w:t>支持应收单与收款单互相推单的业务流程。</w:t>
            </w:r>
          </w:p>
          <w:p w14:paraId="278B75A8">
            <w:pPr>
              <w:spacing w:line="276" w:lineRule="auto"/>
              <w:ind w:firstLine="420" w:firstLineChars="200"/>
              <w:jc w:val="left"/>
            </w:pPr>
            <w:r>
              <w:rPr>
                <w:highlight w:val="yellow"/>
              </w:rPr>
              <w:t>预收款管理：基于订单预收部分款项，开发票后自动核销。支持订单收款金额大于订单金额时，预占用金额为订单金额。</w:t>
            </w:r>
          </w:p>
          <w:p w14:paraId="7F0B42F2">
            <w:pPr>
              <w:spacing w:line="276" w:lineRule="auto"/>
              <w:ind w:firstLine="420" w:firstLineChars="200"/>
              <w:jc w:val="left"/>
            </w:pPr>
            <w:r>
              <w:rPr>
                <w:rFonts w:hint="eastAsia"/>
              </w:rPr>
              <w:t>支持应付款申请单的录入、供应商资质的控制、供应商付款的处理、单据核销处理等功能，并提供应付及付款常用报表的查询分析；</w:t>
            </w:r>
          </w:p>
          <w:p w14:paraId="3B337778">
            <w:pPr>
              <w:spacing w:line="276" w:lineRule="auto"/>
              <w:ind w:firstLine="420" w:firstLineChars="200"/>
              <w:jc w:val="left"/>
            </w:pPr>
            <w:r>
              <w:rPr>
                <w:rFonts w:hint="eastAsia"/>
              </w:rPr>
              <w:t>支持与业务系统的无缝集成，可以根据业务系统直接生成应付款申请单（应付款申请单中含有供应商名称及发票号码），也可以在应付系统中录入相应的应付款内容；</w:t>
            </w:r>
          </w:p>
          <w:p w14:paraId="407AFB9A">
            <w:pPr>
              <w:spacing w:line="276" w:lineRule="auto"/>
              <w:jc w:val="left"/>
            </w:pPr>
            <w:r>
              <w:tab/>
            </w:r>
            <w:r>
              <w:rPr>
                <w:rFonts w:hint="eastAsia"/>
              </w:rPr>
              <w:t>根据应付情况和付款条件，提供选择付款功能，支持批量付款。支持对预收款、预付款的管理；提供多种结算方式的收、付款处理；</w:t>
            </w:r>
          </w:p>
          <w:p w14:paraId="491327F3">
            <w:pPr>
              <w:spacing w:line="276" w:lineRule="auto"/>
              <w:jc w:val="left"/>
            </w:pPr>
            <w:r>
              <w:tab/>
            </w:r>
            <w:r>
              <w:rPr>
                <w:rFonts w:hint="eastAsia"/>
                <w:highlight w:val="yellow"/>
              </w:rPr>
              <w:t>应收账款、</w:t>
            </w:r>
            <w:r>
              <w:rPr>
                <w:rFonts w:hint="eastAsia"/>
              </w:rPr>
              <w:t>应付账款支持自动核销和手工核销两种方式；</w:t>
            </w:r>
          </w:p>
          <w:p w14:paraId="7EF0696B">
            <w:pPr>
              <w:spacing w:line="276" w:lineRule="auto"/>
              <w:jc w:val="left"/>
            </w:pPr>
            <w:r>
              <w:tab/>
            </w:r>
            <w:r>
              <w:rPr>
                <w:rFonts w:hint="eastAsia"/>
              </w:rPr>
              <w:t>支持通过</w:t>
            </w:r>
            <w:r>
              <w:rPr>
                <w:rFonts w:hint="eastAsia"/>
                <w:highlight w:val="yellow"/>
              </w:rPr>
              <w:t>应收</w:t>
            </w:r>
            <w:r>
              <w:rPr>
                <w:rFonts w:hint="eastAsia"/>
              </w:rPr>
              <w:t>、应付系统查询发票、收付款时间、会计凭证；反向通过会计凭证查询到发票明细；实现双向业务追溯；</w:t>
            </w:r>
          </w:p>
          <w:p w14:paraId="474A9D42">
            <w:pPr>
              <w:spacing w:line="276" w:lineRule="auto"/>
              <w:jc w:val="left"/>
            </w:pPr>
            <w:r>
              <w:tab/>
            </w:r>
            <w:r>
              <w:rPr>
                <w:rFonts w:hint="eastAsia"/>
              </w:rPr>
              <w:t>支持</w:t>
            </w:r>
            <w:r>
              <w:rPr>
                <w:rFonts w:hint="eastAsia"/>
                <w:highlight w:val="yellow"/>
              </w:rPr>
              <w:t>应收、</w:t>
            </w:r>
            <w:r>
              <w:rPr>
                <w:rFonts w:hint="eastAsia"/>
              </w:rPr>
              <w:t>应付账款的统计分析，支持往来核销，支持跨年度多期间账龄分析。</w:t>
            </w:r>
          </w:p>
        </w:tc>
        <w:tc>
          <w:tcPr>
            <w:tcW w:w="862" w:type="dxa"/>
          </w:tcPr>
          <w:p w14:paraId="4EAEC7EC">
            <w:pPr>
              <w:spacing w:line="480" w:lineRule="auto"/>
              <w:jc w:val="center"/>
            </w:pPr>
            <w:r>
              <w:rPr>
                <w:rFonts w:hint="eastAsia"/>
              </w:rPr>
              <w:t>1</w:t>
            </w:r>
          </w:p>
        </w:tc>
        <w:tc>
          <w:tcPr>
            <w:tcW w:w="918" w:type="dxa"/>
          </w:tcPr>
          <w:p w14:paraId="11EBADC6">
            <w:pPr>
              <w:spacing w:line="480" w:lineRule="auto"/>
              <w:jc w:val="center"/>
            </w:pPr>
            <w:r>
              <w:rPr>
                <w:rFonts w:hint="eastAsia"/>
              </w:rPr>
              <w:t>套</w:t>
            </w:r>
          </w:p>
        </w:tc>
      </w:tr>
      <w:tr w14:paraId="4007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shd w:val="clear" w:color="auto" w:fill="auto"/>
            <w:vAlign w:val="top"/>
          </w:tcPr>
          <w:p w14:paraId="058D74EA">
            <w:pPr>
              <w:spacing w:line="480" w:lineRule="auto"/>
              <w:jc w:val="center"/>
              <w:rPr>
                <w:rFonts w:asciiTheme="minorHAnsi" w:hAnsiTheme="minorHAnsi" w:eastAsiaTheme="minorEastAsia" w:cstheme="minorBidi"/>
                <w:kern w:val="2"/>
                <w:sz w:val="21"/>
                <w:szCs w:val="22"/>
                <w:lang w:val="en-US" w:eastAsia="zh-CN" w:bidi="ar-SA"/>
              </w:rPr>
            </w:pPr>
            <w:r>
              <w:rPr>
                <w:rFonts w:hint="eastAsia"/>
              </w:rPr>
              <w:t>7</w:t>
            </w:r>
          </w:p>
        </w:tc>
        <w:tc>
          <w:tcPr>
            <w:tcW w:w="887" w:type="dxa"/>
            <w:shd w:val="clear" w:color="auto" w:fill="auto"/>
            <w:vAlign w:val="top"/>
          </w:tcPr>
          <w:p w14:paraId="6D1A2D4B">
            <w:pPr>
              <w:spacing w:line="480" w:lineRule="auto"/>
              <w:jc w:val="center"/>
              <w:rPr>
                <w:rFonts w:asciiTheme="minorHAnsi" w:hAnsiTheme="minorHAnsi" w:eastAsiaTheme="minorEastAsia" w:cstheme="minorBidi"/>
                <w:kern w:val="2"/>
                <w:sz w:val="21"/>
                <w:szCs w:val="22"/>
                <w:lang w:val="en-US" w:eastAsia="zh-CN" w:bidi="ar-SA"/>
              </w:rPr>
            </w:pPr>
            <w:r>
              <w:rPr>
                <w:rFonts w:hint="eastAsia"/>
              </w:rPr>
              <w:t>全面预算</w:t>
            </w:r>
          </w:p>
        </w:tc>
        <w:tc>
          <w:tcPr>
            <w:tcW w:w="10763" w:type="dxa"/>
            <w:shd w:val="clear" w:color="auto" w:fill="auto"/>
            <w:vAlign w:val="top"/>
          </w:tcPr>
          <w:p w14:paraId="1549309E">
            <w:pPr>
              <w:spacing w:line="276" w:lineRule="auto"/>
              <w:ind w:firstLine="424" w:firstLineChars="202"/>
              <w:rPr>
                <w:rFonts w:hint="eastAsia" w:ascii="宋体" w:hAnsi="宋体" w:eastAsia="宋体"/>
              </w:rPr>
            </w:pPr>
            <w:r>
              <w:rPr>
                <w:rFonts w:hint="eastAsia" w:ascii="宋体" w:hAnsi="宋体" w:eastAsia="宋体"/>
              </w:rPr>
              <w:t>依据最新政府要求的全面预算管理规范，实现医院基于战略规划目标的中长期预算管理及年度预算管理。针对医院业务战略部署的预算目标进行逐级分解、执行反馈和监督评价。同时构建覆盖业务预算、财务预算、资金预算，面向各临床业务科室、归口管理科室的三层预算管理体系。在现有财务预算控制的基础上，实现对业务风险防控和预算全流程在线管理的目标。</w:t>
            </w:r>
          </w:p>
          <w:p w14:paraId="1DB8F8CF">
            <w:pPr>
              <w:spacing w:line="276" w:lineRule="auto"/>
              <w:ind w:firstLine="424" w:firstLineChars="202"/>
              <w:rPr>
                <w:rFonts w:hint="eastAsia" w:ascii="宋体" w:hAnsi="宋体" w:eastAsia="宋体"/>
              </w:rPr>
            </w:pPr>
            <w:r>
              <w:rPr>
                <w:rFonts w:hint="eastAsia" w:ascii="宋体" w:hAnsi="宋体" w:eastAsia="宋体"/>
              </w:rPr>
              <w:t>具体功能需求如下：</w:t>
            </w:r>
          </w:p>
          <w:p w14:paraId="3EBD57FA">
            <w:pPr>
              <w:pStyle w:val="9"/>
              <w:spacing w:line="276" w:lineRule="auto"/>
              <w:rPr>
                <w:rFonts w:hint="eastAsia"/>
              </w:rPr>
            </w:pPr>
            <w:r>
              <w:rPr>
                <w:rFonts w:ascii="Times New Roman" w:hAnsi="Times New Roman"/>
              </w:rPr>
              <w:t>▲</w:t>
            </w:r>
            <w:r>
              <w:rPr>
                <w:rFonts w:hint="eastAsia"/>
              </w:rPr>
              <w:t>预算项目库全程管理</w:t>
            </w:r>
          </w:p>
          <w:p w14:paraId="567A88B4">
            <w:pPr>
              <w:pStyle w:val="9"/>
              <w:numPr>
                <w:ilvl w:val="1"/>
                <w:numId w:val="1"/>
              </w:numPr>
              <w:spacing w:line="276" w:lineRule="auto"/>
              <w:rPr>
                <w:rFonts w:hint="eastAsia"/>
              </w:rPr>
            </w:pPr>
            <w:r>
              <w:rPr>
                <w:rFonts w:hint="eastAsia"/>
              </w:rPr>
              <w:t>支持院内重大专项的全程项目管理，从预备立项，到评审立项通过，后续年度预算执行跟踪和项目结束后的评价考核全程管理。</w:t>
            </w:r>
          </w:p>
          <w:p w14:paraId="788F33C1">
            <w:pPr>
              <w:pStyle w:val="9"/>
              <w:numPr>
                <w:ilvl w:val="1"/>
                <w:numId w:val="1"/>
              </w:numPr>
              <w:spacing w:line="276" w:lineRule="auto"/>
              <w:rPr>
                <w:rFonts w:hint="eastAsia"/>
              </w:rPr>
            </w:pPr>
            <w:r>
              <w:rPr>
                <w:rFonts w:hint="eastAsia"/>
              </w:rPr>
              <w:t>支持预算项目考核指标设置，包括权重和打分规则；</w:t>
            </w:r>
          </w:p>
          <w:p w14:paraId="2EDA22DE">
            <w:pPr>
              <w:pStyle w:val="9"/>
              <w:numPr>
                <w:ilvl w:val="1"/>
                <w:numId w:val="1"/>
              </w:numPr>
              <w:spacing w:line="276" w:lineRule="auto"/>
              <w:rPr>
                <w:rFonts w:hint="eastAsia"/>
              </w:rPr>
            </w:pPr>
            <w:r>
              <w:rPr>
                <w:rFonts w:hint="eastAsia"/>
              </w:rPr>
              <w:t>支持预算项目申报资料的附件管理，以及总体概算情况和投入期限等信息管理；</w:t>
            </w:r>
          </w:p>
          <w:p w14:paraId="663B9176">
            <w:pPr>
              <w:pStyle w:val="9"/>
              <w:numPr>
                <w:ilvl w:val="1"/>
                <w:numId w:val="1"/>
              </w:numPr>
              <w:spacing w:line="276" w:lineRule="auto"/>
              <w:rPr>
                <w:rFonts w:hint="eastAsia"/>
              </w:rPr>
            </w:pPr>
            <w:r>
              <w:rPr>
                <w:rFonts w:hint="eastAsia"/>
              </w:rPr>
              <w:t>支持立项成功的项目，自动进入启动年份的年度预算编报范围；</w:t>
            </w:r>
          </w:p>
          <w:p w14:paraId="11C97324">
            <w:pPr>
              <w:pStyle w:val="9"/>
              <w:numPr>
                <w:ilvl w:val="1"/>
                <w:numId w:val="1"/>
              </w:numPr>
              <w:spacing w:line="276" w:lineRule="auto"/>
              <w:rPr>
                <w:rFonts w:hint="eastAsia"/>
              </w:rPr>
            </w:pPr>
            <w:r>
              <w:rPr>
                <w:rFonts w:hint="eastAsia"/>
              </w:rPr>
              <w:t>支持项目总体概算调整与年度预算调整的联动管理；</w:t>
            </w:r>
          </w:p>
          <w:p w14:paraId="688BC6B6">
            <w:pPr>
              <w:pStyle w:val="9"/>
              <w:numPr>
                <w:ilvl w:val="1"/>
                <w:numId w:val="1"/>
              </w:numPr>
              <w:spacing w:line="276" w:lineRule="auto"/>
              <w:rPr>
                <w:rFonts w:hint="eastAsia"/>
              </w:rPr>
            </w:pPr>
            <w:r>
              <w:rPr>
                <w:rFonts w:hint="eastAsia"/>
              </w:rPr>
              <w:t>支持项目预算执行情况实时查询。</w:t>
            </w:r>
          </w:p>
          <w:p w14:paraId="0DECB6BA">
            <w:pPr>
              <w:pStyle w:val="9"/>
              <w:spacing w:line="276" w:lineRule="auto"/>
              <w:rPr>
                <w:rFonts w:hint="eastAsia"/>
              </w:rPr>
            </w:pPr>
            <w:r>
              <w:t>●</w:t>
            </w:r>
            <w:r>
              <w:rPr>
                <w:rFonts w:hint="eastAsia"/>
              </w:rPr>
              <w:t>预算全程线上编制与调整</w:t>
            </w:r>
          </w:p>
          <w:p w14:paraId="73F86E3B">
            <w:pPr>
              <w:pStyle w:val="9"/>
              <w:numPr>
                <w:ilvl w:val="1"/>
                <w:numId w:val="1"/>
              </w:numPr>
              <w:spacing w:line="276" w:lineRule="auto"/>
              <w:rPr>
                <w:rFonts w:hint="eastAsia"/>
              </w:rPr>
            </w:pPr>
            <w:r>
              <w:rPr>
                <w:rFonts w:hint="eastAsia"/>
              </w:rPr>
              <w:t>支持构建全面预算管理指标，包含诸如收入预算、费用预算、采购预算、资金预算、投资预算等各类预算指标；</w:t>
            </w:r>
          </w:p>
          <w:p w14:paraId="4A4A43F5">
            <w:pPr>
              <w:pStyle w:val="9"/>
              <w:numPr>
                <w:ilvl w:val="1"/>
                <w:numId w:val="1"/>
              </w:numPr>
              <w:spacing w:line="276" w:lineRule="auto"/>
              <w:rPr>
                <w:rFonts w:hint="eastAsia"/>
              </w:rPr>
            </w:pPr>
            <w:r>
              <w:rPr>
                <w:rFonts w:hint="eastAsia"/>
              </w:rPr>
              <w:t>支持预算指标之间的逻辑关系，例如财务报表预算项目与专业预算项目之间的归属计算关系；</w:t>
            </w:r>
          </w:p>
          <w:p w14:paraId="6B137367">
            <w:pPr>
              <w:pStyle w:val="9"/>
              <w:numPr>
                <w:ilvl w:val="1"/>
                <w:numId w:val="1"/>
              </w:numPr>
              <w:spacing w:line="276" w:lineRule="auto"/>
              <w:rPr>
                <w:rFonts w:hint="eastAsia"/>
              </w:rPr>
            </w:pPr>
            <w:r>
              <w:rPr>
                <w:rFonts w:hint="eastAsia"/>
              </w:rPr>
              <w:t>支持针对不同预算指标，可灵活设置“几上几下”的编报流程管理；</w:t>
            </w:r>
          </w:p>
          <w:p w14:paraId="7F663982">
            <w:pPr>
              <w:pStyle w:val="9"/>
              <w:numPr>
                <w:ilvl w:val="1"/>
                <w:numId w:val="1"/>
              </w:numPr>
              <w:spacing w:line="276" w:lineRule="auto"/>
              <w:rPr>
                <w:rFonts w:hint="eastAsia"/>
              </w:rPr>
            </w:pPr>
            <w:r>
              <w:rPr>
                <w:rFonts w:hint="eastAsia"/>
              </w:rPr>
              <w:t>支持临床业务科室、归口管理科室、各级业务领导和预算管理办公室、委员会进行网上预算填报、汇总、审核、批复、审核、查询的业务管理；</w:t>
            </w:r>
          </w:p>
          <w:p w14:paraId="22C58B11">
            <w:pPr>
              <w:pStyle w:val="9"/>
              <w:numPr>
                <w:ilvl w:val="1"/>
                <w:numId w:val="1"/>
              </w:numPr>
              <w:spacing w:line="276" w:lineRule="auto"/>
              <w:rPr>
                <w:rFonts w:hint="eastAsia"/>
              </w:rPr>
            </w:pPr>
            <w:r>
              <w:rPr>
                <w:rFonts w:hint="eastAsia"/>
              </w:rPr>
              <w:t>支持预算编报过程中的整体进程跟踪管理；</w:t>
            </w:r>
          </w:p>
          <w:p w14:paraId="5EBA51BE">
            <w:pPr>
              <w:pStyle w:val="9"/>
              <w:numPr>
                <w:ilvl w:val="1"/>
                <w:numId w:val="1"/>
              </w:numPr>
              <w:spacing w:line="276" w:lineRule="auto"/>
              <w:rPr>
                <w:rFonts w:hint="eastAsia"/>
              </w:rPr>
            </w:pPr>
            <w:r>
              <w:rPr>
                <w:rFonts w:hint="eastAsia"/>
              </w:rPr>
              <w:t>支持定期大范围预算调整，以及个别预算指标的临时专项调整；</w:t>
            </w:r>
          </w:p>
          <w:p w14:paraId="4CED6F26">
            <w:pPr>
              <w:pStyle w:val="9"/>
              <w:numPr>
                <w:ilvl w:val="1"/>
                <w:numId w:val="1"/>
              </w:numPr>
              <w:spacing w:line="276" w:lineRule="auto"/>
              <w:rPr>
                <w:rFonts w:hint="eastAsia"/>
              </w:rPr>
            </w:pPr>
            <w:r>
              <w:rPr>
                <w:rFonts w:hint="eastAsia"/>
              </w:rPr>
              <w:t>支持预算调整的申报与审批流程管理；</w:t>
            </w:r>
          </w:p>
          <w:p w14:paraId="1D5B5407">
            <w:pPr>
              <w:pStyle w:val="9"/>
              <w:numPr>
                <w:ilvl w:val="1"/>
                <w:numId w:val="1"/>
              </w:numPr>
              <w:spacing w:line="276" w:lineRule="auto"/>
              <w:rPr>
                <w:rFonts w:hint="eastAsia"/>
              </w:rPr>
            </w:pPr>
            <w:r>
              <w:rPr>
                <w:rFonts w:hint="eastAsia"/>
              </w:rPr>
              <w:t>支持预算调整前后影响的评估计算，为预算审批提供依据；</w:t>
            </w:r>
          </w:p>
          <w:p w14:paraId="64DAFFFC">
            <w:pPr>
              <w:pStyle w:val="9"/>
              <w:numPr>
                <w:ilvl w:val="1"/>
                <w:numId w:val="1"/>
              </w:numPr>
              <w:spacing w:line="276" w:lineRule="auto"/>
              <w:rPr>
                <w:rFonts w:hint="eastAsia"/>
              </w:rPr>
            </w:pPr>
            <w:r>
              <w:rPr>
                <w:rFonts w:hint="eastAsia"/>
              </w:rPr>
              <w:t>支持在预算编制时支持查询上年度预算执行情况；</w:t>
            </w:r>
          </w:p>
          <w:p w14:paraId="555E603E">
            <w:pPr>
              <w:pStyle w:val="9"/>
              <w:numPr>
                <w:ilvl w:val="1"/>
                <w:numId w:val="1"/>
              </w:numPr>
              <w:spacing w:line="276" w:lineRule="auto"/>
              <w:rPr>
                <w:rFonts w:hint="eastAsia"/>
              </w:rPr>
            </w:pPr>
            <w:r>
              <w:rPr>
                <w:rFonts w:hint="eastAsia"/>
              </w:rPr>
              <w:t>支持自动生成预算报表和方案分析；</w:t>
            </w:r>
          </w:p>
          <w:p w14:paraId="4553C64F">
            <w:pPr>
              <w:pStyle w:val="9"/>
              <w:numPr>
                <w:ilvl w:val="1"/>
                <w:numId w:val="1"/>
              </w:numPr>
              <w:spacing w:line="276" w:lineRule="auto"/>
              <w:rPr>
                <w:rFonts w:hint="eastAsia"/>
              </w:rPr>
            </w:pPr>
            <w:r>
              <w:rPr>
                <w:rFonts w:hint="eastAsia"/>
              </w:rPr>
              <w:t>支持可按照设定规则，如预算项目内容和经济分类科目内容，自动归集形成上报上级部门的部门预算方案，以及便于医院实际管理的医院内部预算方案。</w:t>
            </w:r>
          </w:p>
          <w:p w14:paraId="7AFDFF48">
            <w:pPr>
              <w:pStyle w:val="9"/>
              <w:numPr>
                <w:ilvl w:val="1"/>
                <w:numId w:val="1"/>
              </w:numPr>
              <w:spacing w:line="276" w:lineRule="auto"/>
              <w:rPr>
                <w:rFonts w:hint="eastAsia"/>
              </w:rPr>
            </w:pPr>
            <w:r>
              <w:rPr>
                <w:rFonts w:hint="eastAsia"/>
              </w:rPr>
              <w:t>支持预算绩效目标在线编制、汇总和审核。</w:t>
            </w:r>
          </w:p>
          <w:p w14:paraId="5BE3F8C1">
            <w:pPr>
              <w:pStyle w:val="9"/>
              <w:spacing w:line="276" w:lineRule="auto"/>
              <w:rPr>
                <w:rFonts w:hint="eastAsia"/>
              </w:rPr>
            </w:pPr>
            <w:r>
              <w:rPr>
                <w:rFonts w:ascii="Times New Roman" w:hAnsi="Times New Roman"/>
              </w:rPr>
              <w:t>▲</w:t>
            </w:r>
            <w:r>
              <w:rPr>
                <w:rFonts w:hint="eastAsia"/>
              </w:rPr>
              <w:t>预算控制到报销与支付等业务环节</w:t>
            </w:r>
          </w:p>
          <w:p w14:paraId="23BA1E6D">
            <w:pPr>
              <w:pStyle w:val="9"/>
              <w:numPr>
                <w:ilvl w:val="1"/>
                <w:numId w:val="1"/>
              </w:numPr>
              <w:spacing w:line="276" w:lineRule="auto"/>
              <w:rPr>
                <w:rFonts w:hint="eastAsia"/>
              </w:rPr>
            </w:pPr>
            <w:r>
              <w:rPr>
                <w:rFonts w:hint="eastAsia"/>
              </w:rPr>
              <w:t>不但支持现有预算指标对财务总账的控制，同时支持预算支出事前申请、报销借款、报销、支付环节进行预算关联和控制；</w:t>
            </w:r>
          </w:p>
          <w:p w14:paraId="336A8736">
            <w:pPr>
              <w:pStyle w:val="9"/>
              <w:numPr>
                <w:ilvl w:val="1"/>
                <w:numId w:val="1"/>
              </w:numPr>
              <w:spacing w:line="276" w:lineRule="auto"/>
              <w:rPr>
                <w:rFonts w:hint="eastAsia"/>
              </w:rPr>
            </w:pPr>
            <w:r>
              <w:rPr>
                <w:rFonts w:hint="eastAsia"/>
              </w:rPr>
              <w:t>支持预算对合同鉴定评审的申请控制；</w:t>
            </w:r>
          </w:p>
          <w:p w14:paraId="12C86656">
            <w:pPr>
              <w:pStyle w:val="9"/>
              <w:numPr>
                <w:ilvl w:val="1"/>
                <w:numId w:val="1"/>
              </w:numPr>
              <w:spacing w:line="276" w:lineRule="auto"/>
              <w:rPr>
                <w:rFonts w:hint="eastAsia"/>
              </w:rPr>
            </w:pPr>
            <w:r>
              <w:rPr>
                <w:rFonts w:hint="eastAsia"/>
              </w:rPr>
              <w:t>支持多种预算控制模型，例如总额、明细、强制、弹性、零基等多种控制方法。</w:t>
            </w:r>
          </w:p>
          <w:p w14:paraId="1BF6EE72">
            <w:pPr>
              <w:pStyle w:val="9"/>
              <w:spacing w:line="276" w:lineRule="auto"/>
              <w:rPr>
                <w:rFonts w:hint="eastAsia"/>
              </w:rPr>
            </w:pPr>
            <w:r>
              <w:rPr>
                <w:rFonts w:hint="eastAsia"/>
              </w:rPr>
              <w:t>预算执行结果实时可查，并可提供执行情况分析自助查询</w:t>
            </w:r>
          </w:p>
          <w:p w14:paraId="40D71637">
            <w:pPr>
              <w:pStyle w:val="9"/>
              <w:spacing w:line="276" w:lineRule="auto"/>
              <w:rPr>
                <w:rFonts w:hint="eastAsia"/>
              </w:rPr>
            </w:pPr>
            <w:r>
              <w:rPr>
                <w:rFonts w:hint="eastAsia"/>
              </w:rPr>
              <w:t>提供预算执行预警和审核，可以设置不同预算指标的预警值计算规则，以及预警信息发送的方式与规则；</w:t>
            </w:r>
          </w:p>
          <w:p w14:paraId="73A88E01">
            <w:pPr>
              <w:pStyle w:val="9"/>
              <w:spacing w:line="276" w:lineRule="auto"/>
              <w:rPr>
                <w:rFonts w:hint="eastAsia"/>
              </w:rPr>
            </w:pPr>
            <w:r>
              <w:rPr>
                <w:rFonts w:hint="eastAsia"/>
              </w:rPr>
              <w:t>预算对外提供开放接口，可与其他业务系统集成</w:t>
            </w:r>
          </w:p>
          <w:p w14:paraId="672DBB35">
            <w:pPr>
              <w:pStyle w:val="9"/>
              <w:numPr>
                <w:ilvl w:val="1"/>
                <w:numId w:val="1"/>
              </w:numPr>
              <w:spacing w:line="276" w:lineRule="auto"/>
              <w:rPr>
                <w:rFonts w:hint="eastAsia"/>
              </w:rPr>
            </w:pPr>
            <w:r>
              <w:rPr>
                <w:rFonts w:hint="eastAsia"/>
              </w:rPr>
              <w:t>支持各类预算对相应业务系统的控制开放接口，例如采购预算控制采购系统的采购计划/采购订单等。</w:t>
            </w:r>
          </w:p>
          <w:p w14:paraId="66095FF7">
            <w:pPr>
              <w:pStyle w:val="9"/>
              <w:numPr>
                <w:ilvl w:val="1"/>
                <w:numId w:val="1"/>
              </w:numPr>
              <w:spacing w:line="276" w:lineRule="auto"/>
              <w:rPr>
                <w:rFonts w:hint="eastAsia"/>
              </w:rPr>
            </w:pPr>
            <w:r>
              <w:rPr>
                <w:rFonts w:hint="eastAsia"/>
              </w:rPr>
              <w:t>预算提供可以导入外部数据作为预算编制、执行数据。</w:t>
            </w:r>
          </w:p>
          <w:p w14:paraId="4D8EF87E">
            <w:pPr>
              <w:pStyle w:val="9"/>
              <w:spacing w:line="276" w:lineRule="auto"/>
              <w:rPr>
                <w:rFonts w:hint="eastAsia"/>
              </w:rPr>
            </w:pPr>
            <w:r>
              <w:rPr>
                <w:rFonts w:hint="eastAsia"/>
              </w:rPr>
              <w:t>预算分析环节，可生成定期（月、季度、半年度和年度）和不定期预算执行报表和分析报告。</w:t>
            </w:r>
          </w:p>
          <w:p w14:paraId="6427BD8E">
            <w:pPr>
              <w:pStyle w:val="9"/>
              <w:spacing w:line="276" w:lineRule="auto"/>
              <w:rPr>
                <w:rFonts w:hint="eastAsia"/>
              </w:rPr>
            </w:pPr>
            <w:r>
              <w:rPr>
                <w:rFonts w:hint="eastAsia"/>
              </w:rPr>
              <w:t xml:space="preserve">能够在固定资产采购、差旅报销申请等环节查询预算数据; </w:t>
            </w:r>
          </w:p>
          <w:p w14:paraId="27E47B6F">
            <w:pPr>
              <w:pStyle w:val="9"/>
              <w:spacing w:line="276" w:lineRule="auto"/>
              <w:ind w:left="844" w:leftChars="0"/>
              <w:rPr>
                <w:rFonts w:hint="eastAsia" w:ascii="宋体" w:hAnsi="宋体" w:eastAsia="宋体" w:cs="Times New Roman"/>
                <w:kern w:val="2"/>
                <w:sz w:val="21"/>
                <w:szCs w:val="24"/>
                <w:lang w:val="en-US" w:eastAsia="zh-CN" w:bidi="ar-SA"/>
              </w:rPr>
            </w:pPr>
            <w:r>
              <w:rPr>
                <w:rFonts w:hint="eastAsia"/>
              </w:rPr>
              <w:t>院内各部门能够通过系统完成项目预算的制定和审批。</w:t>
            </w:r>
          </w:p>
        </w:tc>
        <w:tc>
          <w:tcPr>
            <w:tcW w:w="862" w:type="dxa"/>
            <w:shd w:val="clear" w:color="auto" w:fill="auto"/>
            <w:vAlign w:val="top"/>
          </w:tcPr>
          <w:p w14:paraId="34A64806">
            <w:pPr>
              <w:spacing w:line="480" w:lineRule="auto"/>
              <w:jc w:val="center"/>
              <w:rPr>
                <w:rFonts w:asciiTheme="minorHAnsi" w:hAnsiTheme="minorHAnsi" w:eastAsiaTheme="minorEastAsia" w:cstheme="minorBidi"/>
                <w:kern w:val="2"/>
                <w:sz w:val="21"/>
                <w:szCs w:val="22"/>
                <w:lang w:val="en-US" w:eastAsia="zh-CN" w:bidi="ar-SA"/>
              </w:rPr>
            </w:pPr>
            <w:r>
              <w:rPr>
                <w:rFonts w:hint="eastAsia"/>
              </w:rPr>
              <w:t>1</w:t>
            </w:r>
          </w:p>
        </w:tc>
        <w:tc>
          <w:tcPr>
            <w:tcW w:w="918" w:type="dxa"/>
            <w:shd w:val="clear" w:color="auto" w:fill="auto"/>
            <w:vAlign w:val="top"/>
          </w:tcPr>
          <w:p w14:paraId="62AF1000">
            <w:pPr>
              <w:spacing w:line="480" w:lineRule="auto"/>
              <w:jc w:val="center"/>
              <w:rPr>
                <w:rFonts w:asciiTheme="minorHAnsi" w:hAnsiTheme="minorHAnsi" w:eastAsiaTheme="minorEastAsia" w:cstheme="minorBidi"/>
                <w:kern w:val="2"/>
                <w:sz w:val="21"/>
                <w:szCs w:val="22"/>
                <w:lang w:val="en-US" w:eastAsia="zh-CN" w:bidi="ar-SA"/>
              </w:rPr>
            </w:pPr>
            <w:r>
              <w:rPr>
                <w:rFonts w:hint="eastAsia"/>
              </w:rPr>
              <w:t>套</w:t>
            </w:r>
          </w:p>
        </w:tc>
      </w:tr>
      <w:tr w14:paraId="5E6E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shd w:val="clear" w:color="auto" w:fill="auto"/>
            <w:vAlign w:val="top"/>
          </w:tcPr>
          <w:p w14:paraId="7CBB329C">
            <w:pPr>
              <w:spacing w:line="480" w:lineRule="auto"/>
              <w:jc w:val="center"/>
              <w:rPr>
                <w:rFonts w:asciiTheme="minorHAnsi" w:hAnsiTheme="minorHAnsi" w:eastAsiaTheme="minorEastAsia" w:cstheme="minorBidi"/>
                <w:kern w:val="2"/>
                <w:sz w:val="21"/>
                <w:szCs w:val="22"/>
                <w:lang w:val="en-US" w:eastAsia="zh-CN" w:bidi="ar-SA"/>
              </w:rPr>
            </w:pPr>
            <w:r>
              <w:rPr>
                <w:rFonts w:hint="eastAsia"/>
              </w:rPr>
              <w:t>8</w:t>
            </w:r>
          </w:p>
        </w:tc>
        <w:tc>
          <w:tcPr>
            <w:tcW w:w="887" w:type="dxa"/>
            <w:shd w:val="clear" w:color="auto" w:fill="auto"/>
            <w:vAlign w:val="top"/>
          </w:tcPr>
          <w:p w14:paraId="752E3C5E">
            <w:pPr>
              <w:spacing w:line="480" w:lineRule="auto"/>
              <w:jc w:val="center"/>
              <w:rPr>
                <w:rFonts w:asciiTheme="minorHAnsi" w:hAnsiTheme="minorHAnsi" w:eastAsiaTheme="minorEastAsia" w:cstheme="minorBidi"/>
                <w:kern w:val="2"/>
                <w:sz w:val="21"/>
                <w:szCs w:val="22"/>
                <w:lang w:val="en-US" w:eastAsia="zh-CN" w:bidi="ar-SA"/>
              </w:rPr>
            </w:pPr>
            <w:r>
              <w:rPr>
                <w:rFonts w:hint="eastAsia"/>
              </w:rPr>
              <w:t>报销管理</w:t>
            </w:r>
          </w:p>
        </w:tc>
        <w:tc>
          <w:tcPr>
            <w:tcW w:w="10763" w:type="dxa"/>
            <w:shd w:val="clear" w:color="auto" w:fill="auto"/>
            <w:vAlign w:val="top"/>
          </w:tcPr>
          <w:p w14:paraId="3177A231">
            <w:pPr>
              <w:spacing w:line="360" w:lineRule="auto"/>
              <w:ind w:firstLine="424" w:firstLineChars="202"/>
              <w:rPr>
                <w:rFonts w:hint="eastAsia" w:ascii="宋体" w:hAnsi="宋体" w:eastAsia="宋体"/>
              </w:rPr>
            </w:pPr>
            <w:r>
              <w:rPr>
                <w:rFonts w:hint="eastAsia" w:ascii="宋体" w:hAnsi="宋体" w:eastAsia="宋体"/>
              </w:rPr>
              <w:t>实现医院内部全员网上报销，将传统的纸质报销电子化，通过与预算的结合，可以在经费报账业务发生前，实时触发预算控制，支持对接票据服务，对进项发票进行统一的接收、查验、管理。结合电子发票查验服务及时发现问题票、假票、重复报销的发票，降低财务风险、简化财务流程。支持领导在线审批，提高报销效率。</w:t>
            </w:r>
          </w:p>
          <w:p w14:paraId="65845208">
            <w:pPr>
              <w:pStyle w:val="9"/>
              <w:rPr>
                <w:rFonts w:hint="eastAsia"/>
              </w:rPr>
            </w:pPr>
            <w:r>
              <w:rPr>
                <w:rFonts w:hint="eastAsia"/>
              </w:rPr>
              <w:t>支持院内各类经费报销业务分别定义报销单据样式，报销审批流程和账务处理规则；</w:t>
            </w:r>
          </w:p>
          <w:p w14:paraId="5919C2B2">
            <w:pPr>
              <w:pStyle w:val="9"/>
              <w:rPr>
                <w:rFonts w:hint="eastAsia"/>
              </w:rPr>
            </w:pPr>
            <w:r>
              <w:rPr>
                <w:rFonts w:ascii="Times New Roman" w:hAnsi="Times New Roman"/>
              </w:rPr>
              <w:t>▲</w:t>
            </w:r>
            <w:r>
              <w:rPr>
                <w:rFonts w:hint="eastAsia"/>
              </w:rPr>
              <w:t>支持经费报销标准定义管理，并能实时控制报销费用计算；</w:t>
            </w:r>
          </w:p>
          <w:p w14:paraId="146091F1">
            <w:pPr>
              <w:pStyle w:val="9"/>
              <w:rPr>
                <w:rFonts w:hint="eastAsia"/>
              </w:rPr>
            </w:pPr>
            <w:r>
              <w:rPr>
                <w:rFonts w:hint="eastAsia"/>
              </w:rPr>
              <w:t>支持各类经费预算（含医院经费、科教经费、财政经费等）对报销各类单据的实时控制。支持预算冻结和解冻结，审核完成后自动扣减预算，如发生审批不通过或申请撤销的事项，可在退回或撤销后自动恢复预算额度。</w:t>
            </w:r>
          </w:p>
          <w:p w14:paraId="2CEF2CA0">
            <w:pPr>
              <w:pStyle w:val="9"/>
              <w:rPr>
                <w:rFonts w:hint="eastAsia"/>
              </w:rPr>
            </w:pPr>
            <w:r>
              <w:rPr>
                <w:rFonts w:hint="eastAsia"/>
              </w:rPr>
              <w:t>支持各类报销业务的事项申请和借款申请，实现事前申请预算控制管理；</w:t>
            </w:r>
          </w:p>
          <w:p w14:paraId="2D7EDFC0">
            <w:pPr>
              <w:pStyle w:val="9"/>
              <w:rPr>
                <w:rFonts w:hint="eastAsia"/>
              </w:rPr>
            </w:pPr>
            <w:r>
              <w:rPr>
                <w:rFonts w:hint="eastAsia"/>
              </w:rPr>
              <w:t>报销流程处理进程和审批消息的自动推送，提醒经办人和审批人进行业务处理，以及通报报销单据的处理进度；</w:t>
            </w:r>
          </w:p>
          <w:p w14:paraId="11AA18CA">
            <w:pPr>
              <w:pStyle w:val="9"/>
              <w:rPr>
                <w:rFonts w:hint="eastAsia"/>
              </w:rPr>
            </w:pPr>
            <w:r>
              <w:rPr>
                <w:rFonts w:hint="eastAsia"/>
              </w:rPr>
              <w:t>提供院内各科室业务主管对下属个人及预算报销项目执行的查询分析；</w:t>
            </w:r>
          </w:p>
          <w:p w14:paraId="34F036A8">
            <w:pPr>
              <w:pStyle w:val="9"/>
              <w:rPr>
                <w:rFonts w:hint="eastAsia"/>
              </w:rPr>
            </w:pPr>
            <w:r>
              <w:rPr>
                <w:rFonts w:ascii="Times New Roman" w:hAnsi="Times New Roman"/>
              </w:rPr>
              <w:t>▲</w:t>
            </w:r>
            <w:r>
              <w:rPr>
                <w:rFonts w:hint="eastAsia"/>
              </w:rPr>
              <w:t>支持对接票据服务，报销涉及的各类原始单证的O</w:t>
            </w:r>
            <w:r>
              <w:t>CR</w:t>
            </w:r>
            <w:r>
              <w:rPr>
                <w:rFonts w:hint="eastAsia"/>
              </w:rPr>
              <w:t>图像自动识别与报销关键数据（如金额等）自动采集，并链接国家税控金盘，核查发票信息真伪；校验发票重复上传，杜绝重复报销。</w:t>
            </w:r>
          </w:p>
          <w:p w14:paraId="3E9FB0CB">
            <w:pPr>
              <w:pStyle w:val="9"/>
              <w:rPr>
                <w:rFonts w:hint="eastAsia"/>
              </w:rPr>
            </w:pPr>
            <w:r>
              <w:t>●</w:t>
            </w:r>
            <w:r>
              <w:rPr>
                <w:rFonts w:hint="eastAsia"/>
              </w:rPr>
              <w:t>支持出纳通过银医直连批量处理报销支付（需对接银医直连模块），直接转入对公对私银行账户，并确保资金安全支付。</w:t>
            </w:r>
          </w:p>
          <w:p w14:paraId="694D8E6C">
            <w:pPr>
              <w:pStyle w:val="9"/>
              <w:rPr>
                <w:rFonts w:hint="eastAsia"/>
              </w:rPr>
            </w:pPr>
            <w:r>
              <w:rPr>
                <w:rFonts w:hint="eastAsia"/>
              </w:rPr>
              <w:t>支持借款和还借款业务流程，在报销申请人存在未还借款业务时，向申请人和报销审核人进行提示，即对报销人建立信用控制以及借款未清警告；</w:t>
            </w:r>
          </w:p>
          <w:p w14:paraId="500936AC">
            <w:pPr>
              <w:pStyle w:val="9"/>
              <w:rPr>
                <w:rFonts w:hint="eastAsia"/>
              </w:rPr>
            </w:pPr>
            <w:r>
              <w:t>●</w:t>
            </w:r>
            <w:r>
              <w:rPr>
                <w:rFonts w:hint="eastAsia"/>
              </w:rPr>
              <w:t>支持多种付款方式，包括但不限于现金、银医直联自动付款、公务卡报销等；</w:t>
            </w:r>
          </w:p>
          <w:p w14:paraId="344FCE38">
            <w:pPr>
              <w:pStyle w:val="9"/>
              <w:rPr>
                <w:rFonts w:hint="eastAsia"/>
              </w:rPr>
            </w:pPr>
            <w:r>
              <w:rPr>
                <w:rFonts w:hint="eastAsia"/>
              </w:rPr>
              <w:t>支持付款凭证自动生成，凭证辅助需自动关联供应商、部门、资金项目、合同编号等信息，并可关联查询发票编号；</w:t>
            </w:r>
          </w:p>
          <w:p w14:paraId="689D3E82">
            <w:pPr>
              <w:pStyle w:val="9"/>
              <w:rPr>
                <w:rFonts w:hint="eastAsia"/>
              </w:rPr>
            </w:pPr>
            <w:r>
              <w:rPr>
                <w:rFonts w:hint="eastAsia"/>
              </w:rPr>
              <w:t>报销付款记录付款业务流水号，便于银行对账管理；</w:t>
            </w:r>
          </w:p>
          <w:p w14:paraId="30DBB244">
            <w:pPr>
              <w:pStyle w:val="9"/>
              <w:ind w:left="844" w:leftChars="0"/>
              <w:rPr>
                <w:rFonts w:hint="eastAsia" w:ascii="宋体" w:hAnsi="宋体" w:eastAsia="宋体" w:cs="Times New Roman"/>
                <w:kern w:val="2"/>
                <w:sz w:val="21"/>
                <w:szCs w:val="24"/>
                <w:lang w:val="en-US" w:eastAsia="zh-CN" w:bidi="ar-SA"/>
              </w:rPr>
            </w:pPr>
            <w:r>
              <w:t>●</w:t>
            </w:r>
            <w:r>
              <w:rPr>
                <w:rFonts w:hint="eastAsia"/>
              </w:rPr>
              <w:t>人员劳务费用报销时，支持与薪资系统对接，进行院内外人员身份识别和院外劳务费纳税人身份证号正确性判断，确保代扣代缴个人税款申报成功。</w:t>
            </w:r>
          </w:p>
        </w:tc>
        <w:tc>
          <w:tcPr>
            <w:tcW w:w="862" w:type="dxa"/>
            <w:shd w:val="clear" w:color="auto" w:fill="auto"/>
            <w:vAlign w:val="top"/>
          </w:tcPr>
          <w:p w14:paraId="79DC6FD6">
            <w:pPr>
              <w:spacing w:line="480" w:lineRule="auto"/>
              <w:jc w:val="center"/>
              <w:rPr>
                <w:rFonts w:asciiTheme="minorHAnsi" w:hAnsiTheme="minorHAnsi" w:eastAsiaTheme="minorEastAsia" w:cstheme="minorBidi"/>
                <w:kern w:val="2"/>
                <w:sz w:val="21"/>
                <w:szCs w:val="22"/>
                <w:lang w:val="en-US" w:eastAsia="zh-CN" w:bidi="ar-SA"/>
              </w:rPr>
            </w:pPr>
            <w:r>
              <w:rPr>
                <w:rFonts w:hint="eastAsia"/>
              </w:rPr>
              <w:t>1</w:t>
            </w:r>
          </w:p>
        </w:tc>
        <w:tc>
          <w:tcPr>
            <w:tcW w:w="918" w:type="dxa"/>
            <w:shd w:val="clear" w:color="auto" w:fill="auto"/>
            <w:vAlign w:val="top"/>
          </w:tcPr>
          <w:p w14:paraId="083BEF8D">
            <w:pPr>
              <w:spacing w:line="480" w:lineRule="auto"/>
              <w:jc w:val="center"/>
              <w:rPr>
                <w:rFonts w:asciiTheme="minorHAnsi" w:hAnsiTheme="minorHAnsi" w:eastAsiaTheme="minorEastAsia" w:cstheme="minorBidi"/>
                <w:kern w:val="2"/>
                <w:sz w:val="21"/>
                <w:szCs w:val="22"/>
                <w:lang w:val="en-US" w:eastAsia="zh-CN" w:bidi="ar-SA"/>
              </w:rPr>
            </w:pPr>
            <w:r>
              <w:rPr>
                <w:rFonts w:hint="eastAsia"/>
              </w:rPr>
              <w:t>套</w:t>
            </w:r>
          </w:p>
        </w:tc>
      </w:tr>
      <w:tr w14:paraId="7F92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shd w:val="clear" w:color="auto" w:fill="auto"/>
            <w:vAlign w:val="top"/>
          </w:tcPr>
          <w:p w14:paraId="2268D0B2">
            <w:pPr>
              <w:spacing w:line="480" w:lineRule="auto"/>
              <w:jc w:val="center"/>
              <w:rPr>
                <w:rFonts w:asciiTheme="minorHAnsi" w:hAnsiTheme="minorHAnsi" w:eastAsiaTheme="minorEastAsia" w:cstheme="minorBidi"/>
                <w:kern w:val="2"/>
                <w:sz w:val="21"/>
                <w:szCs w:val="22"/>
                <w:lang w:val="en-US" w:eastAsia="zh-CN" w:bidi="ar-SA"/>
              </w:rPr>
            </w:pPr>
            <w:bookmarkStart w:id="0" w:name="_GoBack"/>
            <w:r>
              <w:rPr>
                <w:rFonts w:hint="eastAsia"/>
              </w:rPr>
              <w:t>9</w:t>
            </w:r>
          </w:p>
        </w:tc>
        <w:tc>
          <w:tcPr>
            <w:tcW w:w="887" w:type="dxa"/>
            <w:shd w:val="clear" w:color="auto" w:fill="auto"/>
            <w:vAlign w:val="top"/>
          </w:tcPr>
          <w:p w14:paraId="5137B001">
            <w:pPr>
              <w:spacing w:line="480" w:lineRule="auto"/>
              <w:jc w:val="center"/>
              <w:rPr>
                <w:rFonts w:asciiTheme="minorHAnsi" w:hAnsiTheme="minorHAnsi" w:eastAsiaTheme="minorEastAsia" w:cstheme="minorBidi"/>
                <w:kern w:val="2"/>
                <w:sz w:val="21"/>
                <w:szCs w:val="22"/>
                <w:lang w:val="en-US" w:eastAsia="zh-CN" w:bidi="ar-SA"/>
              </w:rPr>
            </w:pPr>
            <w:r>
              <w:rPr>
                <w:rFonts w:hint="eastAsia"/>
              </w:rPr>
              <w:t>科室成本核算</w:t>
            </w:r>
          </w:p>
        </w:tc>
        <w:tc>
          <w:tcPr>
            <w:tcW w:w="10763" w:type="dxa"/>
            <w:shd w:val="clear" w:color="auto" w:fill="auto"/>
            <w:vAlign w:val="top"/>
          </w:tcPr>
          <w:p w14:paraId="4D6CF5D0">
            <w:pPr>
              <w:spacing w:line="276" w:lineRule="auto"/>
              <w:ind w:firstLine="424" w:firstLineChars="202"/>
              <w:rPr>
                <w:rFonts w:hint="eastAsia" w:ascii="宋体" w:hAnsi="宋体" w:eastAsia="宋体"/>
              </w:rPr>
            </w:pPr>
            <w:r>
              <w:rPr>
                <w:rFonts w:hint="eastAsia" w:ascii="宋体" w:hAnsi="宋体" w:eastAsia="宋体"/>
              </w:rPr>
              <w:t>按照最新颁布的公立医院成本核算办法，健全补充成本核算管理。同时，满足内部经营分析和绩效考评对于成本数据的要求。为提升医院科学管理和业务决策建立坚实基础。</w:t>
            </w:r>
          </w:p>
          <w:p w14:paraId="11C3BC12">
            <w:pPr>
              <w:spacing w:line="276" w:lineRule="auto"/>
              <w:ind w:firstLine="420" w:firstLineChars="200"/>
              <w:rPr>
                <w:rFonts w:hint="eastAsia" w:ascii="宋体" w:hAnsi="宋体" w:eastAsia="宋体"/>
              </w:rPr>
            </w:pPr>
            <w:r>
              <w:rPr>
                <w:rFonts w:ascii="宋体" w:hAnsi="宋体" w:eastAsia="宋体"/>
              </w:rPr>
              <w:t>●</w:t>
            </w:r>
            <w:r>
              <w:rPr>
                <w:rFonts w:hint="eastAsia" w:ascii="宋体" w:hAnsi="宋体" w:eastAsia="宋体"/>
              </w:rPr>
              <w:t>符合最新《关于印发公立医院成本核算规范的通知》、《公立医院运营管理信息化功能指引》、《公立医院成本核算指导手册》要求进行核算。采用灵活的分摊方式，实现全成本核算；实现多方位的成本分析，从固定/变动、直接/间接成本的角度对科室成本进行深入分析，能够对科室的明细收入、明细成本进行分析，提供灵活的报表工具，可以实现报表自定义，并实现灵活的图形转换；系统提供灵活的数据接口，实现成本核算数据的自动采集。</w:t>
            </w:r>
          </w:p>
          <w:p w14:paraId="6E350D0D">
            <w:pPr>
              <w:spacing w:line="276" w:lineRule="auto"/>
              <w:ind w:firstLine="422"/>
              <w:rPr>
                <w:rFonts w:hint="eastAsia" w:ascii="宋体" w:hAnsi="宋体" w:eastAsia="宋体" w:cs="仿宋_GB2312"/>
                <w:b/>
                <w:szCs w:val="21"/>
              </w:rPr>
            </w:pPr>
            <w:r>
              <w:rPr>
                <w:rFonts w:hint="eastAsia" w:ascii="宋体" w:hAnsi="宋体" w:eastAsia="宋体" w:cs="仿宋_GB2312"/>
                <w:b/>
                <w:szCs w:val="21"/>
              </w:rPr>
              <w:t>（1）核算单元管理</w:t>
            </w:r>
          </w:p>
          <w:p w14:paraId="6B177CE7">
            <w:pPr>
              <w:pStyle w:val="4"/>
              <w:spacing w:after="0" w:line="276" w:lineRule="auto"/>
              <w:ind w:firstLine="420" w:firstLineChars="200"/>
              <w:rPr>
                <w:rFonts w:hint="eastAsia" w:ascii="宋体" w:hAnsi="宋体"/>
                <w:szCs w:val="21"/>
              </w:rPr>
            </w:pPr>
            <w:r>
              <w:rPr>
                <w:rFonts w:hint="eastAsia" w:ascii="宋体" w:hAnsi="宋体"/>
                <w:szCs w:val="21"/>
              </w:rPr>
              <w:t>需将HIS系统和医院会计信息系统内部的科室代码、科室名称通过梳理，形成符合《公立医院成本核算规范》、《</w:t>
            </w:r>
            <w:r>
              <w:rPr>
                <w:rFonts w:hint="eastAsia" w:ascii="宋体" w:hAnsi="宋体"/>
              </w:rPr>
              <w:t>公立医院成本核算指导手册</w:t>
            </w:r>
            <w:r>
              <w:rPr>
                <w:rFonts w:hint="eastAsia" w:ascii="宋体" w:hAnsi="宋体"/>
                <w:szCs w:val="21"/>
              </w:rPr>
              <w:t>》和适用于我院的科室单元编码和科室单元名称。支持从外部系统自动提取各个单元，在此基础上可自定义修改、删除、新增、启用、停用等操作。</w:t>
            </w:r>
          </w:p>
          <w:p w14:paraId="7004B472">
            <w:pPr>
              <w:pStyle w:val="4"/>
              <w:spacing w:after="0" w:line="276" w:lineRule="auto"/>
              <w:ind w:firstLine="420" w:firstLineChars="200"/>
              <w:rPr>
                <w:rFonts w:hint="eastAsia" w:ascii="宋体" w:hAnsi="宋体"/>
                <w:szCs w:val="21"/>
              </w:rPr>
            </w:pPr>
            <w:r>
              <w:rPr>
                <w:rFonts w:hint="eastAsia" w:ascii="宋体" w:hAnsi="宋体"/>
                <w:szCs w:val="21"/>
              </w:rPr>
              <w:t>临床服务类核算单元要分开设置为门诊核算单元和住院核算单元，其中住院核算单位能下转至病区，分别统计成本信息，单独进行成本核算。</w:t>
            </w:r>
          </w:p>
          <w:p w14:paraId="17A896C8">
            <w:pPr>
              <w:pStyle w:val="4"/>
              <w:spacing w:after="0" w:line="276" w:lineRule="auto"/>
              <w:ind w:firstLine="420" w:firstLineChars="200"/>
              <w:rPr>
                <w:rFonts w:hint="eastAsia" w:ascii="宋体" w:hAnsi="宋体"/>
                <w:szCs w:val="21"/>
              </w:rPr>
            </w:pPr>
            <w:r>
              <w:rPr>
                <w:rFonts w:hint="eastAsia" w:ascii="宋体" w:hAnsi="宋体"/>
                <w:szCs w:val="21"/>
              </w:rPr>
              <w:t>核算单元可以核算到医疗组、护理组、医技组，必要时至个人。</w:t>
            </w:r>
          </w:p>
          <w:p w14:paraId="2BB03BDB">
            <w:pPr>
              <w:pStyle w:val="4"/>
              <w:spacing w:after="0" w:line="276" w:lineRule="auto"/>
              <w:ind w:firstLine="420" w:firstLineChars="200"/>
              <w:rPr>
                <w:rFonts w:hint="eastAsia" w:ascii="宋体" w:hAnsi="宋体"/>
                <w:szCs w:val="21"/>
              </w:rPr>
            </w:pPr>
            <w:r>
              <w:rPr>
                <w:rFonts w:hint="eastAsia" w:ascii="宋体" w:hAnsi="宋体"/>
                <w:szCs w:val="21"/>
              </w:rPr>
              <w:t>核算单元对照。进行本地核算单元和相关联的所有外部单元的对照关系，为后续成本数据从各个外部系统的提取提供基础单位数据支撑。需检查对照的准确性，并解决对照中存在的问题</w:t>
            </w:r>
          </w:p>
          <w:p w14:paraId="53FA773F">
            <w:pPr>
              <w:spacing w:line="276" w:lineRule="auto"/>
              <w:ind w:firstLine="422"/>
              <w:rPr>
                <w:rFonts w:hint="eastAsia" w:ascii="宋体" w:hAnsi="宋体" w:eastAsia="宋体" w:cs="仿宋_GB2312"/>
                <w:b/>
                <w:szCs w:val="21"/>
              </w:rPr>
            </w:pPr>
            <w:r>
              <w:rPr>
                <w:rFonts w:hint="eastAsia" w:ascii="宋体" w:hAnsi="宋体" w:eastAsia="宋体" w:cs="仿宋_GB2312"/>
                <w:b/>
                <w:szCs w:val="21"/>
              </w:rPr>
              <w:t>（</w:t>
            </w:r>
            <w:r>
              <w:rPr>
                <w:rFonts w:ascii="宋体" w:hAnsi="宋体" w:eastAsia="宋体" w:cs="仿宋_GB2312"/>
                <w:b/>
                <w:szCs w:val="21"/>
              </w:rPr>
              <w:t>2</w:t>
            </w:r>
            <w:r>
              <w:rPr>
                <w:rFonts w:hint="eastAsia" w:ascii="宋体" w:hAnsi="宋体" w:eastAsia="宋体" w:cs="仿宋_GB2312"/>
                <w:b/>
                <w:szCs w:val="21"/>
              </w:rPr>
              <w:t>）收入采集</w:t>
            </w:r>
          </w:p>
          <w:p w14:paraId="0D67F60C">
            <w:pPr>
              <w:spacing w:line="276" w:lineRule="auto"/>
              <w:ind w:firstLine="420" w:firstLineChars="200"/>
              <w:rPr>
                <w:rFonts w:hint="eastAsia" w:ascii="宋体" w:hAnsi="宋体" w:eastAsia="宋体" w:cs="仿宋_GB2312"/>
                <w:szCs w:val="21"/>
              </w:rPr>
            </w:pPr>
            <w:r>
              <w:rPr>
                <w:rFonts w:hint="eastAsia" w:ascii="宋体" w:hAnsi="宋体" w:eastAsia="宋体" w:cs="仿宋_GB2312"/>
                <w:szCs w:val="21"/>
              </w:rPr>
              <w:t>定义成本管理系统中的收入核算项目。</w:t>
            </w:r>
          </w:p>
          <w:p w14:paraId="5594B1AC">
            <w:pPr>
              <w:spacing w:line="276" w:lineRule="auto"/>
              <w:ind w:firstLine="420" w:firstLineChars="200"/>
              <w:rPr>
                <w:rFonts w:hint="eastAsia" w:ascii="宋体" w:hAnsi="宋体" w:eastAsia="宋体" w:cs="仿宋_GB2312"/>
                <w:szCs w:val="21"/>
              </w:rPr>
            </w:pPr>
            <w:r>
              <w:rPr>
                <w:rFonts w:hint="eastAsia" w:ascii="宋体" w:hAnsi="宋体" w:eastAsia="宋体" w:cs="仿宋_GB2312"/>
                <w:szCs w:val="21"/>
              </w:rPr>
              <w:t>收入项目对照。支持对收入核算项目和HIS系统收入项目形成对应关系，是对HIS系统收入项目的再定义（归类合并）。成本核算基于此对收入进行分类汇总和展现，同时在报表中也支持按收入项目统计。</w:t>
            </w:r>
          </w:p>
          <w:p w14:paraId="08F392B4">
            <w:pPr>
              <w:spacing w:line="276" w:lineRule="auto"/>
              <w:ind w:firstLine="420" w:firstLineChars="200"/>
              <w:rPr>
                <w:rFonts w:hint="eastAsia" w:ascii="宋体" w:hAnsi="宋体" w:eastAsia="宋体" w:cs="仿宋_GB2312"/>
                <w:szCs w:val="21"/>
              </w:rPr>
            </w:pPr>
            <w:r>
              <w:rPr>
                <w:rFonts w:hint="eastAsia" w:ascii="宋体" w:hAnsi="宋体" w:eastAsia="宋体" w:cs="仿宋_GB2312"/>
                <w:szCs w:val="21"/>
              </w:rPr>
              <w:t>收费项目对照。支持HIS系统收入项目与价表的提取和对照，支持对HIS系统收入项目与价表的所属关系重新进行自定义修改操作。收入数据基于此对照关系进行归集和汇总。</w:t>
            </w:r>
          </w:p>
          <w:p w14:paraId="5ECC4DC3">
            <w:pPr>
              <w:spacing w:line="276" w:lineRule="auto"/>
              <w:ind w:firstLine="420" w:firstLineChars="200"/>
              <w:rPr>
                <w:rFonts w:hint="eastAsia" w:ascii="宋体" w:hAnsi="宋体" w:eastAsia="宋体" w:cs="仿宋_GB2312"/>
                <w:szCs w:val="21"/>
              </w:rPr>
            </w:pPr>
            <w:r>
              <w:rPr>
                <w:rFonts w:hint="eastAsia" w:ascii="宋体" w:hAnsi="宋体" w:eastAsia="宋体" w:cs="仿宋_GB2312"/>
                <w:szCs w:val="21"/>
              </w:rPr>
              <w:t>收入转移配置。支持将核算单元的门诊、住院收入，根据收入项目，按照开单和执行进行按比例转移。</w:t>
            </w:r>
          </w:p>
          <w:p w14:paraId="73A2C88B">
            <w:pPr>
              <w:spacing w:line="276" w:lineRule="auto"/>
              <w:ind w:firstLine="422"/>
              <w:rPr>
                <w:rFonts w:hint="eastAsia" w:ascii="宋体" w:hAnsi="宋体" w:eastAsia="宋体" w:cs="仿宋_GB2312"/>
                <w:b/>
                <w:szCs w:val="21"/>
              </w:rPr>
            </w:pPr>
            <w:r>
              <w:rPr>
                <w:rFonts w:hint="eastAsia" w:ascii="宋体" w:hAnsi="宋体" w:eastAsia="宋体" w:cs="仿宋_GB2312"/>
                <w:b/>
                <w:szCs w:val="21"/>
              </w:rPr>
              <w:t>（</w:t>
            </w:r>
            <w:r>
              <w:rPr>
                <w:rFonts w:ascii="宋体" w:hAnsi="宋体" w:eastAsia="宋体" w:cs="仿宋_GB2312"/>
                <w:b/>
                <w:szCs w:val="21"/>
              </w:rPr>
              <w:t>3</w:t>
            </w:r>
            <w:r>
              <w:rPr>
                <w:rFonts w:hint="eastAsia" w:ascii="宋体" w:hAnsi="宋体" w:eastAsia="宋体" w:cs="仿宋_GB2312"/>
                <w:b/>
                <w:szCs w:val="21"/>
              </w:rPr>
              <w:t>）成本设置</w:t>
            </w:r>
          </w:p>
          <w:p w14:paraId="26D3D31C">
            <w:pPr>
              <w:spacing w:line="276" w:lineRule="auto"/>
              <w:ind w:firstLine="420" w:firstLineChars="200"/>
              <w:rPr>
                <w:rFonts w:hint="eastAsia" w:ascii="宋体" w:hAnsi="宋体" w:eastAsia="宋体"/>
                <w:szCs w:val="21"/>
              </w:rPr>
            </w:pPr>
            <w:r>
              <w:rPr>
                <w:rFonts w:hint="eastAsia" w:ascii="宋体" w:hAnsi="宋体" w:eastAsia="宋体" w:cs="仿宋_GB2312"/>
                <w:szCs w:val="21"/>
              </w:rPr>
              <w:t>支持科室成本相关的参数配置、字典设置、业务项与成本项之间的对应关系设置以及相关校验规则的设置等。</w:t>
            </w:r>
          </w:p>
          <w:p w14:paraId="073814E1">
            <w:pPr>
              <w:spacing w:line="276" w:lineRule="auto"/>
              <w:ind w:firstLine="420" w:firstLineChars="200"/>
              <w:rPr>
                <w:rFonts w:hint="eastAsia" w:ascii="宋体" w:hAnsi="宋体" w:eastAsia="宋体" w:cs="仿宋_GB2312"/>
                <w:szCs w:val="21"/>
              </w:rPr>
            </w:pPr>
            <w:r>
              <w:rPr>
                <w:rFonts w:hint="eastAsia" w:ascii="宋体" w:hAnsi="宋体" w:eastAsia="宋体" w:cs="仿宋_GB2312"/>
                <w:szCs w:val="21"/>
              </w:rPr>
              <w:t>成本项目定义。定义医院成本项目，医院成本核算的项目包括以下七类：人员经费、卫生材料费、药品费、固定资产折旧费、无形资产摊销费、提取医疗风险基金和其他医疗费用，根据医院具体情况，设置成本明细项目。支持新增、修改、删除等操作。</w:t>
            </w:r>
          </w:p>
          <w:p w14:paraId="276CD695">
            <w:pPr>
              <w:spacing w:line="276" w:lineRule="auto"/>
              <w:ind w:firstLine="420" w:firstLineChars="200"/>
              <w:rPr>
                <w:rFonts w:hint="eastAsia" w:ascii="宋体" w:hAnsi="宋体" w:eastAsia="宋体" w:cs="仿宋_GB2312"/>
                <w:szCs w:val="21"/>
              </w:rPr>
            </w:pPr>
            <w:r>
              <w:rPr>
                <w:rFonts w:hint="eastAsia" w:ascii="宋体" w:hAnsi="宋体" w:eastAsia="宋体" w:cs="仿宋_GB2312"/>
                <w:szCs w:val="21"/>
              </w:rPr>
              <w:t>会计科目对照。支持成本项目与财务会计科目的对照，可自动提示并更新项目。</w:t>
            </w:r>
          </w:p>
          <w:p w14:paraId="1AD7B878">
            <w:pPr>
              <w:spacing w:line="276" w:lineRule="auto"/>
              <w:ind w:firstLine="420" w:firstLineChars="200"/>
              <w:rPr>
                <w:rFonts w:hint="eastAsia" w:ascii="宋体" w:hAnsi="宋体" w:eastAsia="宋体" w:cs="仿宋_GB2312"/>
                <w:szCs w:val="21"/>
              </w:rPr>
            </w:pPr>
            <w:r>
              <w:rPr>
                <w:rFonts w:hint="eastAsia" w:ascii="宋体" w:hAnsi="宋体" w:eastAsia="宋体" w:cs="仿宋_GB2312"/>
                <w:szCs w:val="21"/>
              </w:rPr>
              <w:t>物资出库对照。支持与药品、设备、物资等系统进行对接，并与出库种类数量金额进行对照。</w:t>
            </w:r>
          </w:p>
          <w:p w14:paraId="7BF02F28">
            <w:pPr>
              <w:spacing w:line="276" w:lineRule="auto"/>
              <w:ind w:firstLine="420" w:firstLineChars="200"/>
              <w:rPr>
                <w:rFonts w:hint="eastAsia" w:ascii="宋体" w:hAnsi="宋体" w:eastAsia="宋体"/>
                <w:szCs w:val="21"/>
              </w:rPr>
            </w:pPr>
            <w:r>
              <w:rPr>
                <w:rFonts w:hint="eastAsia" w:ascii="宋体" w:hAnsi="宋体" w:eastAsia="宋体" w:cs="仿宋_GB2312"/>
                <w:szCs w:val="21"/>
              </w:rPr>
              <w:t>成本提取方案。定义成本采集方案，按照成本项目进行逐条设置。</w:t>
            </w:r>
          </w:p>
          <w:p w14:paraId="7FB1A94D">
            <w:pPr>
              <w:spacing w:line="276" w:lineRule="auto"/>
              <w:ind w:firstLine="422"/>
              <w:rPr>
                <w:rFonts w:hint="eastAsia" w:ascii="宋体" w:hAnsi="宋体" w:eastAsia="宋体" w:cs="仿宋_GB2312"/>
                <w:b/>
                <w:szCs w:val="21"/>
              </w:rPr>
            </w:pPr>
            <w:r>
              <w:rPr>
                <w:rFonts w:hint="eastAsia" w:ascii="宋体" w:hAnsi="宋体" w:eastAsia="宋体" w:cs="仿宋_GB2312"/>
                <w:b/>
                <w:szCs w:val="21"/>
              </w:rPr>
              <w:t>（</w:t>
            </w:r>
            <w:r>
              <w:rPr>
                <w:rFonts w:ascii="宋体" w:hAnsi="宋体" w:eastAsia="宋体" w:cs="仿宋_GB2312"/>
                <w:b/>
                <w:szCs w:val="21"/>
              </w:rPr>
              <w:t>4</w:t>
            </w:r>
            <w:r>
              <w:rPr>
                <w:rFonts w:hint="eastAsia" w:ascii="宋体" w:hAnsi="宋体" w:eastAsia="宋体" w:cs="仿宋_GB2312"/>
                <w:b/>
                <w:szCs w:val="21"/>
              </w:rPr>
              <w:t>）收入与成本的归集管理</w:t>
            </w:r>
          </w:p>
          <w:p w14:paraId="2A6788D7">
            <w:pPr>
              <w:spacing w:line="276" w:lineRule="auto"/>
              <w:ind w:firstLine="420" w:firstLineChars="200"/>
              <w:rPr>
                <w:rFonts w:hint="eastAsia" w:ascii="宋体" w:hAnsi="宋体" w:eastAsia="宋体" w:cs="仿宋_GB2312"/>
                <w:szCs w:val="21"/>
              </w:rPr>
            </w:pPr>
            <w:r>
              <w:rPr>
                <w:rFonts w:hint="eastAsia" w:ascii="宋体" w:hAnsi="宋体" w:eastAsia="宋体" w:cs="仿宋_GB2312"/>
                <w:szCs w:val="21"/>
              </w:rPr>
              <w:t>收入与成本的录入。支持对无法从其他业务系统采集的原始收入与成本进行手工录入，补录方式包括系统直接录入或外部文件导入。</w:t>
            </w:r>
          </w:p>
          <w:p w14:paraId="23A01E33">
            <w:pPr>
              <w:spacing w:line="276" w:lineRule="auto"/>
              <w:ind w:firstLine="420" w:firstLineChars="200"/>
              <w:rPr>
                <w:rFonts w:hint="eastAsia" w:ascii="宋体" w:hAnsi="宋体" w:eastAsia="宋体" w:cs="仿宋_GB2312"/>
                <w:szCs w:val="21"/>
              </w:rPr>
            </w:pPr>
            <w:r>
              <w:rPr>
                <w:rFonts w:hint="eastAsia" w:ascii="宋体" w:hAnsi="宋体" w:eastAsia="宋体" w:cs="仿宋_GB2312"/>
                <w:szCs w:val="21"/>
              </w:rPr>
              <w:t>财务凭证提取。实现从财务系统自动按照部门、科目提取财务凭证数据，并归集到成本核算系统中的成本项目上。支持对数据进行删除、修改操作。</w:t>
            </w:r>
          </w:p>
          <w:p w14:paraId="33D29AA6">
            <w:pPr>
              <w:spacing w:line="276" w:lineRule="auto"/>
              <w:ind w:firstLine="420" w:firstLineChars="200"/>
              <w:rPr>
                <w:rFonts w:hint="eastAsia" w:ascii="宋体" w:hAnsi="宋体" w:eastAsia="宋体" w:cs="仿宋_GB2312"/>
                <w:szCs w:val="21"/>
              </w:rPr>
            </w:pPr>
            <w:r>
              <w:rPr>
                <w:rFonts w:hint="eastAsia" w:ascii="宋体" w:hAnsi="宋体" w:eastAsia="宋体" w:cs="仿宋_GB2312"/>
                <w:szCs w:val="21"/>
              </w:rPr>
              <w:t>收入与成本的采集。支持从HIS、物资、人力、财务等外部系统按照预先定义的成本采集方案进行成本数据的采集；支持成本采集方案的灵活定义，并且方案是完全可视化的；支持在归集过程中实现成本数据的校验；支持对其他的系统模块提取的数据进行再处理。</w:t>
            </w:r>
          </w:p>
          <w:p w14:paraId="6D8A0230">
            <w:pPr>
              <w:spacing w:line="276" w:lineRule="auto"/>
              <w:ind w:firstLine="422"/>
              <w:rPr>
                <w:rFonts w:hint="eastAsia" w:ascii="宋体" w:hAnsi="宋体" w:eastAsia="宋体" w:cs="仿宋_GB2312"/>
                <w:b/>
                <w:szCs w:val="21"/>
              </w:rPr>
            </w:pPr>
            <w:r>
              <w:rPr>
                <w:rFonts w:hint="eastAsia" w:ascii="宋体" w:hAnsi="宋体" w:eastAsia="宋体" w:cs="仿宋_GB2312"/>
                <w:b/>
                <w:szCs w:val="21"/>
              </w:rPr>
              <w:t>（</w:t>
            </w:r>
            <w:r>
              <w:rPr>
                <w:rFonts w:ascii="宋体" w:hAnsi="宋体" w:eastAsia="宋体" w:cs="仿宋_GB2312"/>
                <w:b/>
                <w:szCs w:val="21"/>
              </w:rPr>
              <w:t>5</w:t>
            </w:r>
            <w:r>
              <w:rPr>
                <w:rFonts w:hint="eastAsia" w:ascii="宋体" w:hAnsi="宋体" w:eastAsia="宋体" w:cs="仿宋_GB2312"/>
                <w:b/>
                <w:szCs w:val="21"/>
              </w:rPr>
              <w:t>）成本分摊管理</w:t>
            </w:r>
          </w:p>
          <w:p w14:paraId="0C4AD5B0">
            <w:pPr>
              <w:spacing w:line="276" w:lineRule="auto"/>
              <w:ind w:right="226" w:firstLine="420" w:firstLineChars="200"/>
              <w:rPr>
                <w:rFonts w:hint="eastAsia" w:ascii="宋体" w:hAnsi="宋体" w:eastAsia="宋体"/>
                <w:szCs w:val="21"/>
              </w:rPr>
            </w:pPr>
            <w:r>
              <w:rPr>
                <w:rFonts w:ascii="宋体" w:hAnsi="宋体" w:eastAsia="宋体"/>
                <w:szCs w:val="21"/>
              </w:rPr>
              <w:t>●</w:t>
            </w:r>
            <w:r>
              <w:rPr>
                <w:rFonts w:hint="eastAsia" w:ascii="宋体" w:hAnsi="宋体" w:eastAsia="宋体"/>
                <w:szCs w:val="21"/>
              </w:rPr>
              <w:t>按照国家最近《</w:t>
            </w:r>
            <w:r>
              <w:rPr>
                <w:rFonts w:hint="eastAsia" w:ascii="宋体" w:hAnsi="宋体" w:eastAsia="宋体"/>
              </w:rPr>
              <w:t>公立医院成本核算指导手册</w:t>
            </w:r>
            <w:r>
              <w:rPr>
                <w:rFonts w:hint="eastAsia" w:ascii="宋体" w:hAnsi="宋体" w:eastAsia="宋体"/>
                <w:szCs w:val="21"/>
              </w:rPr>
              <w:t>》的“三级四类分摊法”对科室成本数据进行分摊，完成全成本核算工作，并能提供对医疗业务成本、医疗成本、医疗全成本、医院全成本的处理。</w:t>
            </w:r>
          </w:p>
          <w:p w14:paraId="1763B86C">
            <w:pPr>
              <w:spacing w:line="276" w:lineRule="auto"/>
              <w:ind w:right="226" w:firstLine="420" w:firstLineChars="200"/>
              <w:rPr>
                <w:rFonts w:hint="eastAsia" w:ascii="宋体" w:hAnsi="宋体" w:eastAsia="宋体" w:cs="宋体"/>
                <w:szCs w:val="21"/>
              </w:rPr>
            </w:pPr>
            <w:r>
              <w:rPr>
                <w:rFonts w:hint="eastAsia" w:ascii="宋体" w:hAnsi="宋体" w:eastAsia="宋体"/>
                <w:szCs w:val="21"/>
              </w:rPr>
              <w:t>基于《</w:t>
            </w:r>
            <w:r>
              <w:rPr>
                <w:rFonts w:hint="eastAsia" w:ascii="宋体" w:hAnsi="宋体" w:eastAsia="宋体"/>
              </w:rPr>
              <w:t>公立医院成本核算指导手册</w:t>
            </w:r>
            <w:r>
              <w:rPr>
                <w:rFonts w:hint="eastAsia" w:ascii="宋体" w:hAnsi="宋体" w:eastAsia="宋体"/>
                <w:szCs w:val="21"/>
              </w:rPr>
              <w:t>》，设置相应的科室成本动因。支持</w:t>
            </w:r>
            <w:r>
              <w:rPr>
                <w:rFonts w:hint="eastAsia" w:ascii="宋体" w:hAnsi="宋体" w:eastAsia="宋体" w:cs="宋体"/>
                <w:szCs w:val="21"/>
              </w:rPr>
              <w:t>多样化的分配依据（如人数、面积、床位数、服务量、收入等），实现成本分配策略的灵活性。</w:t>
            </w:r>
          </w:p>
          <w:p w14:paraId="12C7B0D1">
            <w:pPr>
              <w:spacing w:line="276" w:lineRule="auto"/>
              <w:ind w:firstLine="420" w:firstLineChars="200"/>
              <w:rPr>
                <w:rFonts w:hint="eastAsia" w:ascii="宋体" w:hAnsi="宋体" w:eastAsia="宋体" w:cs="宋体"/>
                <w:szCs w:val="21"/>
              </w:rPr>
            </w:pPr>
            <w:r>
              <w:rPr>
                <w:rFonts w:hint="eastAsia" w:ascii="宋体" w:hAnsi="宋体" w:eastAsia="宋体" w:cs="仿宋_GB2312"/>
                <w:szCs w:val="21"/>
              </w:rPr>
              <w:t>分摊管理支持</w:t>
            </w:r>
            <w:r>
              <w:rPr>
                <w:rFonts w:hint="eastAsia" w:ascii="宋体" w:hAnsi="宋体" w:eastAsia="宋体" w:cs="宋体"/>
                <w:szCs w:val="21"/>
              </w:rPr>
              <w:t>同一科室不同成本项目按不同的动因进行分摊，可同级分摊、定向分摊。</w:t>
            </w:r>
          </w:p>
          <w:p w14:paraId="6531BCEB">
            <w:pPr>
              <w:spacing w:line="276" w:lineRule="auto"/>
              <w:ind w:right="226" w:firstLine="420" w:firstLineChars="200"/>
              <w:rPr>
                <w:rFonts w:hint="eastAsia" w:ascii="宋体" w:hAnsi="宋体" w:eastAsia="宋体" w:cs="宋体"/>
                <w:szCs w:val="21"/>
              </w:rPr>
            </w:pPr>
            <w:r>
              <w:rPr>
                <w:rFonts w:hint="eastAsia" w:ascii="宋体" w:hAnsi="宋体" w:eastAsia="宋体" w:cs="宋体"/>
                <w:szCs w:val="21"/>
              </w:rPr>
              <w:t>支持对分摊的数据、</w:t>
            </w:r>
            <w:r>
              <w:rPr>
                <w:rFonts w:ascii="宋体" w:hAnsi="宋体" w:eastAsia="宋体" w:cs="仿宋_GB2312"/>
                <w:szCs w:val="21"/>
              </w:rPr>
              <w:t>科室全成本分摊前后的数据</w:t>
            </w:r>
            <w:r>
              <w:rPr>
                <w:rFonts w:hint="eastAsia" w:ascii="宋体" w:hAnsi="宋体" w:eastAsia="宋体" w:cs="宋体"/>
                <w:szCs w:val="21"/>
              </w:rPr>
              <w:t>进行校验，查询成本分摊情况，确保分摊结果的准确性。</w:t>
            </w:r>
          </w:p>
          <w:p w14:paraId="5B9A4916">
            <w:pPr>
              <w:spacing w:line="276" w:lineRule="auto"/>
              <w:ind w:firstLine="420" w:firstLineChars="200"/>
              <w:rPr>
                <w:rFonts w:hint="eastAsia" w:ascii="宋体" w:hAnsi="宋体" w:eastAsia="宋体" w:cs="仿宋_GB2312"/>
                <w:szCs w:val="21"/>
              </w:rPr>
            </w:pPr>
            <w:r>
              <w:rPr>
                <w:rFonts w:hint="eastAsia" w:ascii="宋体" w:hAnsi="宋体" w:eastAsia="宋体"/>
                <w:szCs w:val="21"/>
              </w:rPr>
              <w:t>科室内不能直接核算到最小核算单元（医疗组、护理组）的成本项目，通过在科室内设置分摊参数，将不可直接计入组</w:t>
            </w:r>
            <w:r>
              <w:rPr>
                <w:rFonts w:hint="eastAsia" w:ascii="宋体" w:hAnsi="宋体" w:eastAsia="宋体" w:cs="仿宋_GB2312"/>
                <w:szCs w:val="21"/>
              </w:rPr>
              <w:t>的成本项目分摊到各医疗组、护理组与医技组。</w:t>
            </w:r>
          </w:p>
          <w:p w14:paraId="1A4760E3">
            <w:pPr>
              <w:spacing w:line="276" w:lineRule="auto"/>
              <w:ind w:firstLine="420" w:firstLineChars="200"/>
              <w:rPr>
                <w:rFonts w:hint="eastAsia" w:ascii="宋体" w:hAnsi="宋体" w:eastAsia="宋体" w:cs="仿宋_GB2312"/>
                <w:szCs w:val="21"/>
              </w:rPr>
            </w:pPr>
            <w:r>
              <w:rPr>
                <w:rFonts w:hint="eastAsia" w:ascii="宋体" w:hAnsi="宋体" w:eastAsia="宋体" w:cs="仿宋_GB2312"/>
                <w:szCs w:val="21"/>
              </w:rPr>
              <w:t>支持诊次成本、床日成本的核算。可从院、科、组级的维度对数据进行展现。</w:t>
            </w:r>
          </w:p>
          <w:p w14:paraId="6B164B72">
            <w:pPr>
              <w:spacing w:line="276" w:lineRule="auto"/>
              <w:ind w:firstLine="422"/>
              <w:rPr>
                <w:rFonts w:hint="eastAsia" w:ascii="宋体" w:hAnsi="宋体" w:eastAsia="宋体" w:cs="仿宋_GB2312"/>
                <w:b/>
                <w:szCs w:val="21"/>
              </w:rPr>
            </w:pPr>
            <w:r>
              <w:rPr>
                <w:rFonts w:hint="eastAsia" w:ascii="宋体" w:hAnsi="宋体" w:eastAsia="宋体" w:cs="仿宋_GB2312"/>
                <w:b/>
                <w:szCs w:val="21"/>
              </w:rPr>
              <w:t>（</w:t>
            </w:r>
            <w:r>
              <w:rPr>
                <w:rFonts w:ascii="宋体" w:hAnsi="宋体" w:eastAsia="宋体" w:cs="仿宋_GB2312"/>
                <w:b/>
                <w:szCs w:val="21"/>
              </w:rPr>
              <w:t>6</w:t>
            </w:r>
            <w:r>
              <w:rPr>
                <w:rFonts w:hint="eastAsia" w:ascii="宋体" w:hAnsi="宋体" w:eastAsia="宋体" w:cs="仿宋_GB2312"/>
                <w:b/>
                <w:szCs w:val="21"/>
              </w:rPr>
              <w:t>）成本报表和分析</w:t>
            </w:r>
          </w:p>
          <w:p w14:paraId="6F9AB68E">
            <w:pPr>
              <w:widowControl/>
              <w:spacing w:line="276" w:lineRule="auto"/>
              <w:ind w:firstLine="420" w:firstLineChars="200"/>
              <w:rPr>
                <w:rFonts w:hint="eastAsia" w:ascii="宋体" w:hAnsi="宋体" w:eastAsia="宋体" w:cs="仿宋_GB2312"/>
                <w:szCs w:val="21"/>
              </w:rPr>
            </w:pPr>
            <w:r>
              <w:rPr>
                <w:rFonts w:ascii="宋体" w:hAnsi="宋体" w:eastAsia="宋体" w:cs="仿宋_GB2312"/>
                <w:szCs w:val="21"/>
              </w:rPr>
              <w:t>●</w:t>
            </w:r>
            <w:r>
              <w:rPr>
                <w:rFonts w:hint="eastAsia" w:ascii="宋体" w:hAnsi="宋体" w:eastAsia="宋体" w:cs="仿宋_GB2312"/>
                <w:szCs w:val="21"/>
              </w:rPr>
              <w:t>支持《公立医院成本核算指导手册》要求的国家公立医院成本管理报表的自动生成</w:t>
            </w:r>
            <w:r>
              <w:rPr>
                <w:rFonts w:hint="eastAsia" w:ascii="宋体" w:hAnsi="宋体" w:eastAsia="宋体"/>
                <w:szCs w:val="21"/>
              </w:rPr>
              <w:t>，</w:t>
            </w:r>
            <w:r>
              <w:rPr>
                <w:rFonts w:hint="eastAsia" w:ascii="宋体" w:hAnsi="宋体" w:eastAsia="宋体" w:cs="仿宋_GB2312"/>
                <w:szCs w:val="21"/>
              </w:rPr>
              <w:t>包括直接成本表、全成本表、成本分摊汇总表等。</w:t>
            </w:r>
          </w:p>
          <w:p w14:paraId="0F9D1103">
            <w:pPr>
              <w:pStyle w:val="4"/>
              <w:spacing w:after="0" w:line="276" w:lineRule="auto"/>
              <w:ind w:firstLine="420" w:firstLineChars="200"/>
              <w:rPr>
                <w:rFonts w:hint="eastAsia" w:ascii="宋体" w:hAnsi="宋体"/>
                <w:szCs w:val="21"/>
              </w:rPr>
            </w:pPr>
            <w:r>
              <w:rPr>
                <w:rFonts w:hint="eastAsia" w:ascii="宋体" w:hAnsi="宋体"/>
                <w:szCs w:val="21"/>
              </w:rPr>
              <w:t>可通过筛选报表数据选项、查询项目等设置，实现多科室、多项目、多期间、多栏目的自定义数据展示。</w:t>
            </w:r>
          </w:p>
          <w:p w14:paraId="6B1B87C3">
            <w:pPr>
              <w:pStyle w:val="4"/>
              <w:spacing w:after="0" w:line="276" w:lineRule="auto"/>
              <w:ind w:firstLine="420" w:firstLineChars="200"/>
              <w:rPr>
                <w:rFonts w:hint="eastAsia" w:ascii="宋体" w:hAnsi="宋体"/>
                <w:szCs w:val="21"/>
              </w:rPr>
            </w:pPr>
            <w:r>
              <w:rPr>
                <w:rFonts w:hint="eastAsia" w:ascii="宋体" w:hAnsi="宋体"/>
                <w:szCs w:val="21"/>
              </w:rPr>
              <w:t>支持根据收入成本数据及医疗经营管理相关数据，进行自定义设置及个性化管理，生成医院所需运营报表。</w:t>
            </w:r>
          </w:p>
          <w:p w14:paraId="1323E78A">
            <w:pPr>
              <w:spacing w:line="276" w:lineRule="auto"/>
              <w:ind w:right="226" w:rightChars="0" w:firstLine="420" w:firstLineChars="200"/>
              <w:rPr>
                <w:rFonts w:hint="eastAsia" w:ascii="宋体" w:hAnsi="宋体" w:eastAsia="宋体" w:cstheme="minorBidi"/>
                <w:kern w:val="2"/>
                <w:sz w:val="21"/>
                <w:szCs w:val="21"/>
                <w:lang w:val="en-US" w:eastAsia="zh-CN" w:bidi="ar-SA"/>
              </w:rPr>
            </w:pPr>
            <w:r>
              <w:rPr>
                <w:rFonts w:ascii="宋体" w:hAnsi="宋体" w:eastAsia="宋体"/>
                <w:szCs w:val="21"/>
              </w:rPr>
              <w:t>●</w:t>
            </w:r>
            <w:r>
              <w:rPr>
                <w:rFonts w:hint="eastAsia" w:ascii="宋体" w:hAnsi="宋体" w:eastAsia="宋体"/>
                <w:szCs w:val="21"/>
              </w:rPr>
              <w:t>提供收支结余分析、结构分析、趋势分析、差额分析、量本利分析、指标分析、对比分析等综合分析。</w:t>
            </w:r>
          </w:p>
        </w:tc>
        <w:tc>
          <w:tcPr>
            <w:tcW w:w="862" w:type="dxa"/>
            <w:shd w:val="clear" w:color="auto" w:fill="auto"/>
            <w:vAlign w:val="top"/>
          </w:tcPr>
          <w:p w14:paraId="364D7BA9">
            <w:pPr>
              <w:spacing w:line="480" w:lineRule="auto"/>
              <w:jc w:val="center"/>
              <w:rPr>
                <w:rFonts w:asciiTheme="minorHAnsi" w:hAnsiTheme="minorHAnsi" w:eastAsiaTheme="minorEastAsia" w:cstheme="minorBidi"/>
                <w:kern w:val="2"/>
                <w:sz w:val="21"/>
                <w:szCs w:val="22"/>
                <w:lang w:val="en-US" w:eastAsia="zh-CN" w:bidi="ar-SA"/>
              </w:rPr>
            </w:pPr>
            <w:r>
              <w:rPr>
                <w:rFonts w:hint="eastAsia"/>
              </w:rPr>
              <w:t>1</w:t>
            </w:r>
          </w:p>
        </w:tc>
        <w:tc>
          <w:tcPr>
            <w:tcW w:w="918" w:type="dxa"/>
            <w:shd w:val="clear" w:color="auto" w:fill="auto"/>
            <w:vAlign w:val="top"/>
          </w:tcPr>
          <w:p w14:paraId="38942E38">
            <w:pPr>
              <w:spacing w:line="480" w:lineRule="auto"/>
              <w:jc w:val="center"/>
              <w:rPr>
                <w:rFonts w:asciiTheme="minorHAnsi" w:hAnsiTheme="minorHAnsi" w:eastAsiaTheme="minorEastAsia" w:cstheme="minorBidi"/>
                <w:kern w:val="2"/>
                <w:sz w:val="21"/>
                <w:szCs w:val="22"/>
                <w:lang w:val="en-US" w:eastAsia="zh-CN" w:bidi="ar-SA"/>
              </w:rPr>
            </w:pPr>
            <w:r>
              <w:rPr>
                <w:rFonts w:hint="eastAsia"/>
              </w:rPr>
              <w:t>套</w:t>
            </w:r>
          </w:p>
        </w:tc>
      </w:tr>
      <w:bookmarkEnd w:id="0"/>
    </w:tbl>
    <w:p w14:paraId="5483887A">
      <w:pPr>
        <w:jc w:val="cente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E83511"/>
    <w:multiLevelType w:val="multilevel"/>
    <w:tmpl w:val="35E83511"/>
    <w:lvl w:ilvl="0" w:tentative="0">
      <w:start w:val="1"/>
      <w:numFmt w:val="bullet"/>
      <w:lvlText w:val=""/>
      <w:lvlJc w:val="left"/>
      <w:pPr>
        <w:ind w:left="844" w:hanging="420"/>
      </w:pPr>
      <w:rPr>
        <w:rFonts w:hint="default" w:ascii="Wingdings" w:hAnsi="Wingdings"/>
      </w:rPr>
    </w:lvl>
    <w:lvl w:ilvl="1" w:tentative="0">
      <w:start w:val="1"/>
      <w:numFmt w:val="bullet"/>
      <w:lvlText w:val=""/>
      <w:lvlJc w:val="left"/>
      <w:pPr>
        <w:ind w:left="1264" w:hanging="420"/>
      </w:pPr>
      <w:rPr>
        <w:rFonts w:hint="default" w:ascii="Wingdings" w:hAnsi="Wingdings"/>
      </w:rPr>
    </w:lvl>
    <w:lvl w:ilvl="2" w:tentative="0">
      <w:start w:val="18"/>
      <w:numFmt w:val="bullet"/>
      <w:lvlText w:val=""/>
      <w:lvlJc w:val="left"/>
      <w:pPr>
        <w:ind w:left="1624" w:hanging="360"/>
      </w:pPr>
      <w:rPr>
        <w:rFonts w:hint="default" w:ascii="Times New Roman" w:hAnsi="Times New Roman" w:eastAsia="宋体" w:cs="Times New Roman"/>
      </w:rPr>
    </w:lvl>
    <w:lvl w:ilvl="3" w:tentative="0">
      <w:start w:val="1"/>
      <w:numFmt w:val="bullet"/>
      <w:lvlText w:val=""/>
      <w:lvlJc w:val="left"/>
      <w:pPr>
        <w:ind w:left="2104" w:hanging="420"/>
      </w:pPr>
      <w:rPr>
        <w:rFonts w:hint="default" w:ascii="Wingdings" w:hAnsi="Wingdings"/>
      </w:rPr>
    </w:lvl>
    <w:lvl w:ilvl="4" w:tentative="0">
      <w:start w:val="1"/>
      <w:numFmt w:val="bullet"/>
      <w:lvlText w:val=""/>
      <w:lvlJc w:val="left"/>
      <w:pPr>
        <w:ind w:left="2524" w:hanging="420"/>
      </w:pPr>
      <w:rPr>
        <w:rFonts w:hint="default" w:ascii="Wingdings" w:hAnsi="Wingdings"/>
      </w:rPr>
    </w:lvl>
    <w:lvl w:ilvl="5" w:tentative="0">
      <w:start w:val="1"/>
      <w:numFmt w:val="bullet"/>
      <w:lvlText w:val=""/>
      <w:lvlJc w:val="left"/>
      <w:pPr>
        <w:ind w:left="2944" w:hanging="420"/>
      </w:pPr>
      <w:rPr>
        <w:rFonts w:hint="default" w:ascii="Wingdings" w:hAnsi="Wingdings"/>
      </w:rPr>
    </w:lvl>
    <w:lvl w:ilvl="6" w:tentative="0">
      <w:start w:val="1"/>
      <w:numFmt w:val="bullet"/>
      <w:lvlText w:val=""/>
      <w:lvlJc w:val="left"/>
      <w:pPr>
        <w:ind w:left="3364" w:hanging="420"/>
      </w:pPr>
      <w:rPr>
        <w:rFonts w:hint="default" w:ascii="Wingdings" w:hAnsi="Wingdings"/>
      </w:rPr>
    </w:lvl>
    <w:lvl w:ilvl="7" w:tentative="0">
      <w:start w:val="1"/>
      <w:numFmt w:val="bullet"/>
      <w:lvlText w:val=""/>
      <w:lvlJc w:val="left"/>
      <w:pPr>
        <w:ind w:left="3784" w:hanging="420"/>
      </w:pPr>
      <w:rPr>
        <w:rFonts w:hint="default" w:ascii="Wingdings" w:hAnsi="Wingdings"/>
      </w:rPr>
    </w:lvl>
    <w:lvl w:ilvl="8" w:tentative="0">
      <w:start w:val="1"/>
      <w:numFmt w:val="bullet"/>
      <w:lvlText w:val=""/>
      <w:lvlJc w:val="left"/>
      <w:pPr>
        <w:ind w:left="4204"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7E1"/>
    <w:rsid w:val="00067DCD"/>
    <w:rsid w:val="0007497C"/>
    <w:rsid w:val="00135EA5"/>
    <w:rsid w:val="00183710"/>
    <w:rsid w:val="003A370E"/>
    <w:rsid w:val="003B1113"/>
    <w:rsid w:val="00447ADB"/>
    <w:rsid w:val="005844AF"/>
    <w:rsid w:val="007244B0"/>
    <w:rsid w:val="007E6721"/>
    <w:rsid w:val="008A3D8E"/>
    <w:rsid w:val="009A4578"/>
    <w:rsid w:val="00A04B6C"/>
    <w:rsid w:val="00AA353B"/>
    <w:rsid w:val="00BD57E1"/>
    <w:rsid w:val="00D171A8"/>
    <w:rsid w:val="00D41E9D"/>
    <w:rsid w:val="00DD4A8C"/>
    <w:rsid w:val="00E86917"/>
    <w:rsid w:val="25BC680D"/>
    <w:rsid w:val="35CF3AEA"/>
    <w:rsid w:val="489C577B"/>
    <w:rsid w:val="691F7F88"/>
    <w:rsid w:val="73F60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toc 1"/>
    <w:basedOn w:val="1"/>
    <w:next w:val="1"/>
    <w:unhideWhenUsed/>
    <w:qFormat/>
    <w:uiPriority w:val="39"/>
  </w:style>
  <w:style w:type="paragraph" w:styleId="4">
    <w:name w:val="Body Text First Indent"/>
    <w:basedOn w:val="2"/>
    <w:next w:val="1"/>
    <w:qFormat/>
    <w:uiPriority w:val="99"/>
    <w:pPr>
      <w:spacing w:line="275" w:lineRule="atLeast"/>
      <w:textAlignment w:val="baseline"/>
    </w:pPr>
    <w:rPr>
      <w:rFonts w:ascii="Times New Roman" w:hAnsi="Times New Roman" w:eastAsia="宋体" w:cs="Times New Roman"/>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列出段落1"/>
    <w:basedOn w:val="1"/>
    <w:qFormat/>
    <w:uiPriority w:val="0"/>
    <w:pPr>
      <w:ind w:firstLine="420" w:firstLineChars="200"/>
    </w:pPr>
    <w:rPr>
      <w:rFonts w:ascii="Times New Roman" w:hAnsi="Times New Roman" w:eastAsia="宋体" w:cs="Times New Roman"/>
      <w:szCs w:val="24"/>
    </w:rPr>
  </w:style>
  <w:style w:type="paragraph" w:styleId="9">
    <w:name w:val="List Paragraph"/>
    <w:basedOn w:val="1"/>
    <w:autoRedefine/>
    <w:unhideWhenUsed/>
    <w:qFormat/>
    <w:uiPriority w:val="34"/>
    <w:pPr>
      <w:spacing w:line="360" w:lineRule="auto"/>
      <w:ind w:left="844"/>
    </w:pPr>
    <w:rPr>
      <w:rFonts w:ascii="宋体" w:hAnsi="宋体"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12600</Words>
  <Characters>12794</Characters>
  <Lines>186</Lines>
  <Paragraphs>52</Paragraphs>
  <TotalTime>10</TotalTime>
  <ScaleCrop>false</ScaleCrop>
  <LinksUpToDate>false</LinksUpToDate>
  <CharactersWithSpaces>12826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2025-04-03T01:29:00Z</dcterms:created>
  <dc:creator>wzq</dc:creator>
  <cp:lastModifiedBy>PXY</cp:lastModifiedBy>
  <dcterms:modified xsi:type="dcterms:W3CDTF">2026-03-09T03:41:22Z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D9CEB74611044D6E915916C515A27A83_13</vt:lpwstr>
  </property>
  <property fmtid="{D5CDD505-2E9C-101B-9397-08002B2CF9AE}" pid="4" name="KSOTemplateDocerSaveRecord">
    <vt:lpwstr>eyJoZGlkIjoiNzQ5YjM5OGNjYjJiN2NmMDc2NDYxZDYzOGU5ZTJkMDMiLCJ1c2VySWQiOiI1NjA2OTYyOTUifQ==</vt:lpwstr>
  </property>
</Properties>
</file>